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CB013">
      <w:pPr>
        <w:overflowPunct w:val="0"/>
        <w:spacing w:line="590" w:lineRule="exact"/>
        <w:rPr>
          <w:rFonts w:hint="eastAsia" w:ascii="方正黑体简体" w:hAnsi="方正黑体简体" w:eastAsia="方正黑体简体" w:cs="方正黑体简体"/>
          <w:spacing w:val="-6"/>
          <w:sz w:val="32"/>
          <w:szCs w:val="32"/>
        </w:rPr>
      </w:pPr>
      <w:bookmarkStart w:id="0" w:name="_GoBack"/>
      <w:bookmarkEnd w:id="0"/>
      <w:r>
        <w:rPr>
          <w:rFonts w:hint="eastAsia" w:ascii="方正黑体简体" w:hAnsi="方正黑体简体" w:eastAsia="方正黑体简体" w:cs="方正黑体简体"/>
          <w:spacing w:val="-6"/>
          <w:sz w:val="32"/>
          <w:szCs w:val="32"/>
        </w:rPr>
        <w:t>附件</w:t>
      </w:r>
    </w:p>
    <w:p w14:paraId="214450A9">
      <w:pPr>
        <w:overflowPunct w:val="0"/>
        <w:spacing w:line="590" w:lineRule="exact"/>
        <w:rPr>
          <w:rFonts w:hint="eastAsia" w:ascii="方正黑体简体" w:hAnsi="方正黑体简体" w:eastAsia="方正黑体简体" w:cs="方正黑体简体"/>
          <w:spacing w:val="-6"/>
          <w:sz w:val="32"/>
          <w:szCs w:val="32"/>
        </w:rPr>
      </w:pPr>
    </w:p>
    <w:p w14:paraId="41042CED">
      <w:pPr>
        <w:overflowPunct w:val="0"/>
        <w:spacing w:line="590" w:lineRule="exact"/>
        <w:jc w:val="center"/>
        <w:rPr>
          <w:rFonts w:eastAsia="黑体"/>
          <w:spacing w:val="-6"/>
          <w:sz w:val="32"/>
          <w:szCs w:val="32"/>
        </w:rPr>
      </w:pPr>
    </w:p>
    <w:p w14:paraId="191E64EB">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Style w:val="30"/>
          <w:rFonts w:hint="eastAsia" w:ascii="Times New Roman" w:hAnsi="Times New Roman" w:eastAsia="方正小标宋简体" w:cs="方正小标宋简体"/>
          <w:color w:val="000000"/>
          <w:spacing w:val="0"/>
          <w:sz w:val="44"/>
          <w:szCs w:val="44"/>
          <w:highlight w:val="none"/>
          <w:u w:val="none"/>
          <w:lang w:eastAsia="zh-CN"/>
        </w:rPr>
      </w:pPr>
      <w:r>
        <w:rPr>
          <w:rStyle w:val="30"/>
          <w:rFonts w:hint="eastAsia" w:eastAsia="方正小标宋简体" w:cs="方正小标宋简体"/>
          <w:color w:val="000000"/>
          <w:spacing w:val="0"/>
          <w:sz w:val="44"/>
          <w:szCs w:val="44"/>
          <w:highlight w:val="none"/>
          <w:u w:val="none"/>
          <w:lang w:eastAsia="zh-CN"/>
        </w:rPr>
        <w:t>仙岩路（常泰路-站前大道）市政道路项目</w:t>
      </w:r>
    </w:p>
    <w:p w14:paraId="279E01D2">
      <w:pPr>
        <w:overflowPunct w:val="0"/>
        <w:spacing w:line="700" w:lineRule="exact"/>
        <w:jc w:val="center"/>
        <w:rPr>
          <w:rFonts w:eastAsia="方正小标宋简体" w:cs="方正小标宋简体"/>
          <w:spacing w:val="-6"/>
          <w:sz w:val="44"/>
          <w:szCs w:val="44"/>
        </w:rPr>
      </w:pPr>
      <w:r>
        <w:rPr>
          <w:rFonts w:hint="eastAsia" w:eastAsia="方正小标宋简体" w:cs="方正小标宋简体"/>
          <w:spacing w:val="-6"/>
          <w:sz w:val="44"/>
          <w:szCs w:val="44"/>
        </w:rPr>
        <w:t>国有土地上房屋征收补偿方案</w:t>
      </w:r>
    </w:p>
    <w:p w14:paraId="4AB62A2E">
      <w:pPr>
        <w:overflowPunct w:val="0"/>
        <w:spacing w:line="590" w:lineRule="exact"/>
        <w:jc w:val="center"/>
        <w:rPr>
          <w:rFonts w:eastAsia="方正仿宋简体" w:cs="方正小标宋简体"/>
          <w:spacing w:val="-6"/>
          <w:sz w:val="32"/>
          <w:szCs w:val="32"/>
        </w:rPr>
      </w:pPr>
    </w:p>
    <w:p w14:paraId="49A0BFA4">
      <w:pPr>
        <w:overflowPunct w:val="0"/>
        <w:spacing w:line="590" w:lineRule="exact"/>
        <w:rPr>
          <w:rFonts w:eastAsia="方正仿宋简体" w:cs="方正小标宋简体"/>
          <w:spacing w:val="-6"/>
          <w:sz w:val="32"/>
          <w:szCs w:val="32"/>
        </w:rPr>
      </w:pPr>
    </w:p>
    <w:p w14:paraId="4AA2221B">
      <w:pPr>
        <w:overflowPunct w:val="0"/>
        <w:spacing w:line="590" w:lineRule="exact"/>
        <w:jc w:val="center"/>
        <w:rPr>
          <w:rFonts w:hint="eastAsia" w:ascii="方正楷体简体" w:hAnsi="方正楷体简体" w:eastAsia="方正楷体简体" w:cs="方正楷体简体"/>
          <w:b w:val="0"/>
          <w:bCs w:val="0"/>
          <w:spacing w:val="-6"/>
          <w:sz w:val="36"/>
          <w:szCs w:val="36"/>
        </w:rPr>
      </w:pPr>
      <w:r>
        <w:rPr>
          <w:rFonts w:hint="eastAsia" w:ascii="方正楷体简体" w:hAnsi="方正楷体简体" w:eastAsia="方正楷体简体" w:cs="方正楷体简体"/>
          <w:b w:val="0"/>
          <w:bCs w:val="0"/>
          <w:spacing w:val="-6"/>
          <w:sz w:val="36"/>
          <w:szCs w:val="36"/>
        </w:rPr>
        <w:t>（征求意见稿）</w:t>
      </w:r>
    </w:p>
    <w:p w14:paraId="6F626111">
      <w:pPr>
        <w:overflowPunct w:val="0"/>
        <w:spacing w:line="590" w:lineRule="exact"/>
        <w:rPr>
          <w:rFonts w:cs="宋体"/>
          <w:b/>
          <w:bCs/>
          <w:spacing w:val="-6"/>
          <w:sz w:val="44"/>
          <w:szCs w:val="44"/>
        </w:rPr>
      </w:pPr>
    </w:p>
    <w:p w14:paraId="6FFF0A05">
      <w:pPr>
        <w:overflowPunct w:val="0"/>
        <w:spacing w:line="590" w:lineRule="exact"/>
        <w:rPr>
          <w:rFonts w:eastAsia="仿宋"/>
          <w:b/>
          <w:bCs/>
          <w:spacing w:val="-6"/>
          <w:sz w:val="44"/>
          <w:szCs w:val="44"/>
        </w:rPr>
      </w:pPr>
    </w:p>
    <w:p w14:paraId="034354C8">
      <w:pPr>
        <w:overflowPunct w:val="0"/>
        <w:spacing w:line="590" w:lineRule="exact"/>
        <w:rPr>
          <w:rFonts w:eastAsia="仿宋"/>
          <w:b/>
          <w:bCs/>
          <w:spacing w:val="-6"/>
          <w:sz w:val="44"/>
          <w:szCs w:val="44"/>
        </w:rPr>
      </w:pPr>
    </w:p>
    <w:p w14:paraId="185B88FA">
      <w:pPr>
        <w:overflowPunct w:val="0"/>
        <w:spacing w:line="590" w:lineRule="exact"/>
        <w:rPr>
          <w:rFonts w:eastAsia="仿宋"/>
          <w:b/>
          <w:bCs/>
          <w:spacing w:val="-6"/>
          <w:sz w:val="44"/>
          <w:szCs w:val="44"/>
        </w:rPr>
      </w:pPr>
    </w:p>
    <w:p w14:paraId="43EA01FF">
      <w:pPr>
        <w:overflowPunct w:val="0"/>
        <w:spacing w:line="590" w:lineRule="exact"/>
        <w:rPr>
          <w:rFonts w:eastAsia="仿宋"/>
          <w:b/>
          <w:bCs/>
          <w:spacing w:val="-6"/>
          <w:sz w:val="44"/>
          <w:szCs w:val="44"/>
        </w:rPr>
      </w:pPr>
    </w:p>
    <w:p w14:paraId="731FCF3E">
      <w:pPr>
        <w:overflowPunct w:val="0"/>
        <w:spacing w:line="590" w:lineRule="exact"/>
        <w:rPr>
          <w:rFonts w:eastAsia="仿宋"/>
          <w:b/>
          <w:bCs/>
          <w:spacing w:val="-6"/>
          <w:sz w:val="44"/>
          <w:szCs w:val="44"/>
        </w:rPr>
      </w:pPr>
    </w:p>
    <w:p w14:paraId="40046ECC">
      <w:pPr>
        <w:overflowPunct w:val="0"/>
        <w:spacing w:line="590" w:lineRule="exact"/>
        <w:rPr>
          <w:rFonts w:eastAsia="仿宋"/>
          <w:b/>
          <w:bCs/>
          <w:spacing w:val="-6"/>
          <w:sz w:val="44"/>
          <w:szCs w:val="44"/>
        </w:rPr>
      </w:pPr>
    </w:p>
    <w:p w14:paraId="0A76D4A0">
      <w:pPr>
        <w:overflowPunct w:val="0"/>
        <w:spacing w:line="590" w:lineRule="exact"/>
        <w:rPr>
          <w:rFonts w:eastAsia="仿宋"/>
          <w:spacing w:val="-6"/>
          <w:sz w:val="32"/>
          <w:szCs w:val="32"/>
        </w:rPr>
      </w:pPr>
    </w:p>
    <w:p w14:paraId="19342EF3">
      <w:pPr>
        <w:overflowPunct w:val="0"/>
        <w:spacing w:line="590" w:lineRule="exact"/>
        <w:rPr>
          <w:rFonts w:eastAsia="仿宋"/>
          <w:spacing w:val="-6"/>
          <w:sz w:val="32"/>
          <w:szCs w:val="32"/>
        </w:rPr>
      </w:pPr>
    </w:p>
    <w:p w14:paraId="2F01380C">
      <w:pPr>
        <w:overflowPunct w:val="0"/>
        <w:spacing w:line="590" w:lineRule="exact"/>
        <w:rPr>
          <w:rFonts w:eastAsia="仿宋"/>
          <w:spacing w:val="-6"/>
          <w:sz w:val="32"/>
          <w:szCs w:val="32"/>
        </w:rPr>
      </w:pPr>
    </w:p>
    <w:p w14:paraId="0CAA49C0">
      <w:pPr>
        <w:overflowPunct w:val="0"/>
        <w:spacing w:line="590" w:lineRule="exact"/>
        <w:rPr>
          <w:rFonts w:eastAsia="仿宋"/>
          <w:spacing w:val="-6"/>
          <w:sz w:val="32"/>
          <w:szCs w:val="32"/>
        </w:rPr>
      </w:pPr>
    </w:p>
    <w:p w14:paraId="5388DCA6">
      <w:pPr>
        <w:overflowPunct w:val="0"/>
        <w:spacing w:line="590" w:lineRule="exact"/>
        <w:rPr>
          <w:rFonts w:eastAsia="仿宋"/>
          <w:spacing w:val="-6"/>
          <w:sz w:val="32"/>
          <w:szCs w:val="32"/>
        </w:rPr>
      </w:pPr>
    </w:p>
    <w:p w14:paraId="7C7F04E3">
      <w:pPr>
        <w:overflowPunct w:val="0"/>
        <w:spacing w:line="590" w:lineRule="exact"/>
        <w:jc w:val="center"/>
        <w:rPr>
          <w:rFonts w:cs="楷体_GB2312"/>
          <w:b/>
          <w:spacing w:val="-6"/>
          <w:sz w:val="32"/>
          <w:szCs w:val="32"/>
        </w:rPr>
      </w:pPr>
      <w:r>
        <w:rPr>
          <w:rFonts w:hint="eastAsia" w:hAnsi="Times New Roman" w:cs="楷体_GB2312"/>
          <w:b/>
          <w:spacing w:val="-6"/>
          <w:sz w:val="32"/>
          <w:szCs w:val="32"/>
        </w:rPr>
        <w:t>泉州市鲤城区住房和城乡建设局</w:t>
      </w:r>
    </w:p>
    <w:p w14:paraId="2F8FFAE1">
      <w:pPr>
        <w:overflowPunct w:val="0"/>
        <w:spacing w:line="590" w:lineRule="exact"/>
        <w:jc w:val="center"/>
        <w:rPr>
          <w:rFonts w:ascii="Times New Roman" w:hAnsi="Times New Roman" w:eastAsia="方正仿宋简体" w:cs="方正仿宋简体"/>
          <w:sz w:val="32"/>
          <w:szCs w:val="32"/>
        </w:rPr>
        <w:sectPr>
          <w:footerReference r:id="rId3" w:type="default"/>
          <w:footerReference r:id="rId4" w:type="even"/>
          <w:pgSz w:w="11907" w:h="16840"/>
          <w:pgMar w:top="1928" w:right="1474" w:bottom="1701" w:left="1588" w:header="851" w:footer="992" w:gutter="0"/>
          <w:pgNumType w:fmt="decimal"/>
          <w:cols w:space="720" w:num="1"/>
          <w:docGrid w:type="lines" w:linePitch="318" w:charSpace="0"/>
        </w:sectPr>
      </w:pPr>
      <w:r>
        <w:rPr>
          <w:rFonts w:cs="楷体_GB2312"/>
          <w:b/>
          <w:spacing w:val="-6"/>
          <w:sz w:val="32"/>
          <w:szCs w:val="32"/>
        </w:rPr>
        <w:t>202</w:t>
      </w:r>
      <w:r>
        <w:rPr>
          <w:rFonts w:hint="eastAsia" w:cs="楷体_GB2312"/>
          <w:b/>
          <w:spacing w:val="-6"/>
          <w:sz w:val="32"/>
          <w:szCs w:val="32"/>
          <w:lang w:val="en-US" w:eastAsia="zh-CN"/>
        </w:rPr>
        <w:t>5</w:t>
      </w:r>
      <w:r>
        <w:rPr>
          <w:rFonts w:hint="eastAsia" w:hAnsi="Times New Roman" w:cs="楷体_GB2312"/>
          <w:b/>
          <w:spacing w:val="-6"/>
          <w:sz w:val="32"/>
          <w:szCs w:val="32"/>
        </w:rPr>
        <w:t>年</w:t>
      </w:r>
      <w:r>
        <w:rPr>
          <w:rFonts w:hint="eastAsia" w:hAnsi="Times New Roman" w:cs="楷体_GB2312"/>
          <w:b/>
          <w:spacing w:val="-6"/>
          <w:sz w:val="32"/>
          <w:szCs w:val="32"/>
          <w:lang w:val="en-US" w:eastAsia="zh-CN"/>
        </w:rPr>
        <w:t>8</w:t>
      </w:r>
      <w:r>
        <w:rPr>
          <w:rFonts w:hint="eastAsia" w:hAnsi="Times New Roman" w:cs="楷体_GB2312"/>
          <w:b/>
          <w:spacing w:val="-6"/>
          <w:sz w:val="32"/>
          <w:szCs w:val="32"/>
        </w:rPr>
        <w:t>月</w:t>
      </w:r>
    </w:p>
    <w:p w14:paraId="37004C9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根据《国有土地上房屋征收与补偿条例》（国务院令第590号）、《福建省实施&lt;国有土地上房屋征收与补偿条例&gt;办法》（福建省人民政府令第138号）、</w:t>
      </w:r>
      <w:r>
        <w:rPr>
          <w:rStyle w:val="30"/>
          <w:rFonts w:hint="eastAsia" w:ascii="Times New Roman" w:hAnsi="Times New Roman" w:eastAsia="方正仿宋简体" w:cs="方正仿宋简体"/>
          <w:color w:val="auto"/>
          <w:spacing w:val="0"/>
          <w:sz w:val="32"/>
          <w:szCs w:val="32"/>
          <w:highlight w:val="none"/>
          <w:lang w:val="en-US" w:eastAsia="zh-CN"/>
        </w:rPr>
        <w:t>泉州市人民政府</w:t>
      </w:r>
      <w:r>
        <w:rPr>
          <w:rStyle w:val="30"/>
          <w:rFonts w:hint="eastAsia" w:ascii="Times New Roman" w:hAnsi="Times New Roman" w:eastAsia="方正仿宋简体" w:cs="方正仿宋简体"/>
          <w:color w:val="auto"/>
          <w:spacing w:val="0"/>
          <w:sz w:val="32"/>
          <w:szCs w:val="32"/>
          <w:highlight w:val="none"/>
        </w:rPr>
        <w:t>《</w:t>
      </w:r>
      <w:r>
        <w:rPr>
          <w:rStyle w:val="30"/>
          <w:rFonts w:hint="eastAsia" w:ascii="Times New Roman" w:hAnsi="Times New Roman" w:eastAsia="方正仿宋简体" w:cs="方正仿宋简体"/>
          <w:color w:val="auto"/>
          <w:spacing w:val="0"/>
          <w:sz w:val="32"/>
          <w:szCs w:val="32"/>
          <w:highlight w:val="none"/>
          <w:lang w:val="en-US" w:eastAsia="zh-CN"/>
        </w:rPr>
        <w:t>关于印发</w:t>
      </w:r>
      <w:r>
        <w:rPr>
          <w:rStyle w:val="30"/>
          <w:rFonts w:hint="eastAsia" w:ascii="Times New Roman" w:hAnsi="Times New Roman" w:eastAsia="方正仿宋简体" w:cs="方正仿宋简体"/>
          <w:color w:val="auto"/>
          <w:spacing w:val="0"/>
          <w:sz w:val="32"/>
          <w:szCs w:val="32"/>
          <w:highlight w:val="none"/>
        </w:rPr>
        <w:t>泉州市国有土地上房屋征收与补偿规定</w:t>
      </w:r>
      <w:r>
        <w:rPr>
          <w:rStyle w:val="30"/>
          <w:rFonts w:hint="eastAsia" w:ascii="Times New Roman" w:hAnsi="Times New Roman" w:eastAsia="方正仿宋简体" w:cs="方正仿宋简体"/>
          <w:color w:val="auto"/>
          <w:spacing w:val="0"/>
          <w:sz w:val="32"/>
          <w:szCs w:val="32"/>
          <w:highlight w:val="none"/>
          <w:lang w:eastAsia="zh-CN"/>
        </w:rPr>
        <w:t>的</w:t>
      </w:r>
      <w:r>
        <w:rPr>
          <w:rStyle w:val="30"/>
          <w:rFonts w:hint="eastAsia" w:ascii="Times New Roman" w:hAnsi="Times New Roman" w:eastAsia="方正仿宋简体" w:cs="方正仿宋简体"/>
          <w:color w:val="auto"/>
          <w:spacing w:val="0"/>
          <w:sz w:val="32"/>
          <w:szCs w:val="32"/>
          <w:highlight w:val="none"/>
          <w:lang w:val="en-US" w:eastAsia="zh-CN"/>
        </w:rPr>
        <w:t>通知</w:t>
      </w:r>
      <w:r>
        <w:rPr>
          <w:rStyle w:val="30"/>
          <w:rFonts w:hint="eastAsia" w:ascii="Times New Roman" w:hAnsi="Times New Roman" w:eastAsia="方正仿宋简体" w:cs="方正仿宋简体"/>
          <w:color w:val="auto"/>
          <w:spacing w:val="0"/>
          <w:sz w:val="32"/>
          <w:szCs w:val="32"/>
          <w:highlight w:val="none"/>
        </w:rPr>
        <w:t>》（</w:t>
      </w:r>
      <w:r>
        <w:rPr>
          <w:rStyle w:val="30"/>
          <w:rFonts w:hint="eastAsia" w:ascii="Times New Roman" w:hAnsi="Times New Roman" w:eastAsia="方正仿宋简体" w:cs="方正仿宋简体"/>
          <w:color w:val="auto"/>
          <w:sz w:val="32"/>
          <w:szCs w:val="32"/>
          <w:highlight w:val="none"/>
        </w:rPr>
        <w:t>泉政规〔2024〕6号</w:t>
      </w:r>
      <w:r>
        <w:rPr>
          <w:rStyle w:val="30"/>
          <w:rFonts w:hint="eastAsia" w:ascii="Times New Roman" w:hAnsi="Times New Roman" w:eastAsia="方正仿宋简体" w:cs="方正仿宋简体"/>
          <w:color w:val="auto"/>
          <w:spacing w:val="0"/>
          <w:sz w:val="32"/>
          <w:szCs w:val="32"/>
          <w:highlight w:val="none"/>
        </w:rPr>
        <w:t>）和泉州市人民政府办公室《关于印发在中心市区国有土地上对未经登记建筑调查认定处理意见和实施房屋征收补偿指导意见的通知》（泉政办〔2015〕112号）等相关法律、法规及配套政策，为</w:t>
      </w:r>
      <w:r>
        <w:rPr>
          <w:rStyle w:val="30"/>
          <w:rFonts w:hint="eastAsia" w:ascii="Times New Roman" w:hAnsi="Times New Roman" w:eastAsia="方正仿宋简体" w:cs="方正仿宋简体"/>
          <w:color w:val="auto"/>
          <w:spacing w:val="0"/>
          <w:sz w:val="32"/>
          <w:szCs w:val="32"/>
          <w:highlight w:val="none"/>
          <w:lang w:val="en-US" w:eastAsia="zh-CN"/>
        </w:rPr>
        <w:t>加快完善城市基础设施，改善人居环境</w:t>
      </w:r>
      <w:r>
        <w:rPr>
          <w:rStyle w:val="30"/>
          <w:rFonts w:hint="eastAsia" w:ascii="Times New Roman" w:hAnsi="Times New Roman" w:eastAsia="方正仿宋简体" w:cs="方正仿宋简体"/>
          <w:color w:val="auto"/>
          <w:spacing w:val="0"/>
          <w:sz w:val="32"/>
          <w:szCs w:val="32"/>
          <w:highlight w:val="none"/>
        </w:rPr>
        <w:t>，经中共鲤城区委、鲤城区人民政府批准，决定组织实施</w:t>
      </w:r>
      <w:r>
        <w:rPr>
          <w:rStyle w:val="30"/>
          <w:rFonts w:hint="eastAsia" w:eastAsia="方正仿宋简体" w:cs="方正仿宋简体"/>
          <w:color w:val="auto"/>
          <w:sz w:val="32"/>
          <w:szCs w:val="32"/>
          <w:highlight w:val="none"/>
          <w:lang w:eastAsia="zh-CN"/>
        </w:rPr>
        <w:t>仙岩路（常泰路-站前大道）市政道路项目</w:t>
      </w:r>
      <w:r>
        <w:rPr>
          <w:rStyle w:val="30"/>
          <w:rFonts w:hint="eastAsia" w:ascii="Times New Roman" w:hAnsi="Times New Roman" w:eastAsia="方正仿宋简体" w:cs="方正仿宋简体"/>
          <w:color w:val="auto"/>
          <w:spacing w:val="-6"/>
          <w:sz w:val="32"/>
          <w:szCs w:val="32"/>
          <w:highlight w:val="none"/>
        </w:rPr>
        <w:t>。</w:t>
      </w:r>
      <w:r>
        <w:rPr>
          <w:rFonts w:hint="eastAsia" w:ascii="Times New Roman" w:hAnsi="Times New Roman" w:eastAsia="方正仿宋简体" w:cs="方正仿宋简体"/>
          <w:color w:val="auto"/>
          <w:spacing w:val="-6"/>
          <w:sz w:val="32"/>
          <w:szCs w:val="32"/>
          <w:highlight w:val="none"/>
        </w:rPr>
        <w:t>鉴此，本着积极稳妥推进房屋征收补偿安置工作，保障被征收房屋所有权人的合法权益，</w:t>
      </w:r>
      <w:r>
        <w:rPr>
          <w:rStyle w:val="30"/>
          <w:rFonts w:hint="eastAsia" w:ascii="Times New Roman" w:hAnsi="Times New Roman" w:eastAsia="方正仿宋简体" w:cs="方正仿宋简体"/>
          <w:color w:val="auto"/>
          <w:spacing w:val="-6"/>
          <w:sz w:val="32"/>
          <w:szCs w:val="32"/>
          <w:highlight w:val="none"/>
        </w:rPr>
        <w:t>结合本区域实际情况，制定本方案。</w:t>
      </w:r>
    </w:p>
    <w:p w14:paraId="124E4F1D">
      <w:pPr>
        <w:keepNext w:val="0"/>
        <w:keepLines w:val="0"/>
        <w:pageBreakBefore w:val="0"/>
        <w:widowControl w:val="0"/>
        <w:numPr>
          <w:ilvl w:val="0"/>
          <w:numId w:val="0"/>
        </w:numPr>
        <w:kinsoku/>
        <w:wordWrap/>
        <w:overflowPunct w:val="0"/>
        <w:topLinePunct w:val="0"/>
        <w:autoSpaceDE/>
        <w:autoSpaceDN/>
        <w:bidi w:val="0"/>
        <w:adjustRightInd/>
        <w:snapToGrid/>
        <w:spacing w:before="313" w:beforeLines="100" w:after="313" w:afterLines="100" w:line="530" w:lineRule="exact"/>
        <w:jc w:val="center"/>
        <w:textAlignment w:val="auto"/>
        <w:rPr>
          <w:rStyle w:val="30"/>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kern w:val="2"/>
          <w:sz w:val="32"/>
          <w:szCs w:val="32"/>
          <w:highlight w:val="none"/>
          <w:lang w:val="en-US" w:eastAsia="zh-CN" w:bidi="ar-SA"/>
        </w:rPr>
        <w:t>第一部分</w:t>
      </w:r>
      <w:r>
        <w:rPr>
          <w:rStyle w:val="30"/>
          <w:rFonts w:hint="eastAsia" w:ascii="Times New Roman" w:hAnsi="Times New Roman" w:eastAsia="黑体" w:cs="黑体"/>
          <w:color w:val="auto"/>
          <w:spacing w:val="0"/>
          <w:sz w:val="32"/>
          <w:szCs w:val="32"/>
          <w:highlight w:val="none"/>
          <w:lang w:val="en-US" w:eastAsia="zh-CN"/>
        </w:rPr>
        <w:t xml:space="preserve">  </w:t>
      </w:r>
      <w:r>
        <w:rPr>
          <w:rStyle w:val="30"/>
          <w:rFonts w:hint="eastAsia" w:ascii="Times New Roman" w:hAnsi="Times New Roman" w:eastAsia="黑体" w:cs="黑体"/>
          <w:color w:val="auto"/>
          <w:spacing w:val="0"/>
          <w:sz w:val="32"/>
          <w:szCs w:val="32"/>
          <w:highlight w:val="none"/>
        </w:rPr>
        <w:t>总</w:t>
      </w:r>
      <w:r>
        <w:rPr>
          <w:rStyle w:val="30"/>
          <w:rFonts w:hint="eastAsia" w:ascii="Times New Roman" w:hAnsi="Times New Roman" w:eastAsia="黑体" w:cs="黑体"/>
          <w:color w:val="auto"/>
          <w:spacing w:val="0"/>
          <w:sz w:val="32"/>
          <w:szCs w:val="32"/>
          <w:highlight w:val="none"/>
          <w:lang w:val="en-US" w:eastAsia="zh-CN"/>
        </w:rPr>
        <w:t xml:space="preserve"> </w:t>
      </w:r>
      <w:r>
        <w:rPr>
          <w:rStyle w:val="30"/>
          <w:rFonts w:hint="eastAsia" w:ascii="Times New Roman" w:hAnsi="Times New Roman" w:eastAsia="黑体" w:cs="黑体"/>
          <w:color w:val="auto"/>
          <w:spacing w:val="0"/>
          <w:sz w:val="32"/>
          <w:szCs w:val="32"/>
          <w:highlight w:val="none"/>
        </w:rPr>
        <w:t>则</w:t>
      </w:r>
    </w:p>
    <w:p w14:paraId="5E95DEB9">
      <w:pPr>
        <w:keepNext w:val="0"/>
        <w:keepLines w:val="0"/>
        <w:pageBreakBefore w:val="0"/>
        <w:widowControl w:val="0"/>
        <w:kinsoku/>
        <w:wordWrap/>
        <w:overflowPunct w:val="0"/>
        <w:topLinePunct w:val="0"/>
        <w:autoSpaceDE/>
        <w:autoSpaceDN/>
        <w:bidi w:val="0"/>
        <w:adjustRightInd/>
        <w:snapToGrid/>
        <w:spacing w:line="530" w:lineRule="exact"/>
        <w:ind w:firstLine="643" w:firstLineChars="200"/>
        <w:jc w:val="both"/>
        <w:textAlignment w:val="auto"/>
        <w:rPr>
          <w:rStyle w:val="30"/>
          <w:rFonts w:ascii="Times New Roman" w:hAnsi="Times New Roman" w:eastAsia="方正仿宋简体" w:cs="方正仿宋简体"/>
          <w:b/>
          <w:bCs/>
          <w:color w:val="auto"/>
          <w:spacing w:val="0"/>
          <w:sz w:val="32"/>
          <w:szCs w:val="32"/>
          <w:highlight w:val="none"/>
        </w:rPr>
      </w:pPr>
      <w:r>
        <w:rPr>
          <w:rStyle w:val="30"/>
          <w:rFonts w:hint="eastAsia" w:ascii="Times New Roman" w:hAnsi="Times New Roman" w:eastAsia="方正仿宋简体" w:cs="方正仿宋简体"/>
          <w:b/>
          <w:bCs/>
          <w:color w:val="auto"/>
          <w:spacing w:val="0"/>
          <w:sz w:val="32"/>
          <w:szCs w:val="32"/>
          <w:highlight w:val="none"/>
        </w:rPr>
        <w:t>第一条 征收范围</w:t>
      </w:r>
    </w:p>
    <w:p w14:paraId="363B6A32">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z w:val="32"/>
          <w:szCs w:val="32"/>
          <w:highlight w:val="none"/>
        </w:rPr>
        <w:t>征收范围东至华星村、南至光电产业园、西至常泰路、北至锦田村，</w:t>
      </w:r>
      <w:r>
        <w:rPr>
          <w:rStyle w:val="30"/>
          <w:rFonts w:hint="eastAsia" w:ascii="Times New Roman" w:hAnsi="Times New Roman" w:eastAsia="方正仿宋简体" w:cs="方正仿宋简体"/>
          <w:color w:val="auto"/>
          <w:spacing w:val="0"/>
          <w:sz w:val="32"/>
          <w:szCs w:val="32"/>
          <w:highlight w:val="none"/>
        </w:rPr>
        <w:t>具体范围以经泉州市自然资源和规划局核对符合城市规划要求的征收范围图为准。</w:t>
      </w:r>
    </w:p>
    <w:p w14:paraId="0E2AE0B5">
      <w:pPr>
        <w:keepNext w:val="0"/>
        <w:keepLines w:val="0"/>
        <w:pageBreakBefore w:val="0"/>
        <w:widowControl w:val="0"/>
        <w:kinsoku/>
        <w:wordWrap/>
        <w:overflowPunct w:val="0"/>
        <w:topLinePunct w:val="0"/>
        <w:autoSpaceDE/>
        <w:autoSpaceDN/>
        <w:bidi w:val="0"/>
        <w:adjustRightInd/>
        <w:snapToGrid/>
        <w:spacing w:line="530" w:lineRule="exact"/>
        <w:ind w:firstLine="643" w:firstLineChars="200"/>
        <w:jc w:val="both"/>
        <w:textAlignment w:val="auto"/>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第二条 征收组织实施机构</w:t>
      </w:r>
    </w:p>
    <w:p w14:paraId="4989E149">
      <w:pPr>
        <w:keepNext w:val="0"/>
        <w:keepLines w:val="0"/>
        <w:pageBreakBefore w:val="0"/>
        <w:widowControl w:val="0"/>
        <w:kinsoku/>
        <w:wordWrap/>
        <w:overflowPunct w:val="0"/>
        <w:topLinePunct w:val="0"/>
        <w:autoSpaceDE/>
        <w:autoSpaceDN/>
        <w:bidi w:val="0"/>
        <w:adjustRightInd/>
        <w:snapToGrid/>
        <w:spacing w:line="530" w:lineRule="exact"/>
        <w:ind w:firstLine="643" w:firstLineChars="200"/>
        <w:jc w:val="both"/>
        <w:textAlignment w:val="auto"/>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（一）房屋征收部门</w:t>
      </w:r>
    </w:p>
    <w:p w14:paraId="3CB6B58B">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泉州市鲤城区住房和城乡建设局</w:t>
      </w:r>
    </w:p>
    <w:p w14:paraId="4BBC8E41">
      <w:pPr>
        <w:keepNext w:val="0"/>
        <w:keepLines w:val="0"/>
        <w:pageBreakBefore w:val="0"/>
        <w:widowControl w:val="0"/>
        <w:kinsoku/>
        <w:wordWrap/>
        <w:overflowPunct w:val="0"/>
        <w:topLinePunct w:val="0"/>
        <w:autoSpaceDE/>
        <w:autoSpaceDN/>
        <w:bidi w:val="0"/>
        <w:adjustRightInd/>
        <w:snapToGrid/>
        <w:spacing w:line="530" w:lineRule="exact"/>
        <w:ind w:firstLine="643" w:firstLineChars="200"/>
        <w:jc w:val="both"/>
        <w:textAlignment w:val="auto"/>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（二）征收实施单位</w:t>
      </w:r>
    </w:p>
    <w:p w14:paraId="37FFA1B8">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Style w:val="30"/>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按属地原则，由项目所在地泉州市鲤城区人民政府</w:t>
      </w:r>
      <w:r>
        <w:rPr>
          <w:rFonts w:hint="eastAsia" w:ascii="Times New Roman" w:hAnsi="Times New Roman" w:eastAsia="方正仿宋简体" w:cs="方正仿宋简体"/>
          <w:color w:val="auto"/>
          <w:spacing w:val="0"/>
          <w:sz w:val="32"/>
          <w:szCs w:val="32"/>
          <w:highlight w:val="none"/>
          <w:lang w:val="en-US" w:eastAsia="zh-CN"/>
        </w:rPr>
        <w:t>常泰</w:t>
      </w:r>
      <w:r>
        <w:rPr>
          <w:rFonts w:hint="eastAsia" w:ascii="Times New Roman" w:hAnsi="Times New Roman" w:eastAsia="方正仿宋简体" w:cs="方正仿宋简体"/>
          <w:color w:val="auto"/>
          <w:spacing w:val="0"/>
          <w:sz w:val="32"/>
          <w:szCs w:val="32"/>
          <w:highlight w:val="none"/>
        </w:rPr>
        <w:t>街道办事处承担房屋征收与补偿的具体工作。</w:t>
      </w:r>
    </w:p>
    <w:p w14:paraId="058626C6">
      <w:pPr>
        <w:keepNext w:val="0"/>
        <w:keepLines w:val="0"/>
        <w:pageBreakBefore w:val="0"/>
        <w:widowControl w:val="0"/>
        <w:kinsoku/>
        <w:wordWrap/>
        <w:overflowPunct w:val="0"/>
        <w:topLinePunct w:val="0"/>
        <w:autoSpaceDE/>
        <w:autoSpaceDN/>
        <w:bidi w:val="0"/>
        <w:adjustRightInd/>
        <w:snapToGrid/>
        <w:spacing w:line="530" w:lineRule="exact"/>
        <w:ind w:firstLine="643" w:firstLineChars="200"/>
        <w:jc w:val="both"/>
        <w:textAlignment w:val="auto"/>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第三条 签约期限</w:t>
      </w:r>
    </w:p>
    <w:p w14:paraId="5E4111F3">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Style w:val="30"/>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签订协议及搬迁期限以鲤城区人民政府发布的征收</w:t>
      </w:r>
      <w:r>
        <w:rPr>
          <w:rFonts w:hint="eastAsia" w:eastAsia="方正仿宋简体" w:cs="方正仿宋简体"/>
          <w:color w:val="auto"/>
          <w:spacing w:val="0"/>
          <w:sz w:val="32"/>
          <w:szCs w:val="32"/>
          <w:highlight w:val="none"/>
          <w:lang w:val="en-US" w:eastAsia="zh-CN"/>
        </w:rPr>
        <w:t>决定</w:t>
      </w:r>
      <w:r>
        <w:rPr>
          <w:rFonts w:hint="eastAsia" w:ascii="Times New Roman" w:hAnsi="Times New Roman" w:eastAsia="方正仿宋简体" w:cs="方正仿宋简体"/>
          <w:color w:val="auto"/>
          <w:spacing w:val="0"/>
          <w:sz w:val="32"/>
          <w:szCs w:val="32"/>
          <w:highlight w:val="none"/>
        </w:rPr>
        <w:t>公告规定的时间为准。</w:t>
      </w:r>
    </w:p>
    <w:p w14:paraId="025B1E22">
      <w:pPr>
        <w:keepNext w:val="0"/>
        <w:keepLines w:val="0"/>
        <w:pageBreakBefore w:val="0"/>
        <w:widowControl w:val="0"/>
        <w:numPr>
          <w:ilvl w:val="0"/>
          <w:numId w:val="1"/>
        </w:numPr>
        <w:kinsoku/>
        <w:wordWrap/>
        <w:overflowPunct w:val="0"/>
        <w:topLinePunct w:val="0"/>
        <w:autoSpaceDE/>
        <w:autoSpaceDN/>
        <w:bidi w:val="0"/>
        <w:adjustRightInd/>
        <w:snapToGrid/>
        <w:spacing w:line="530" w:lineRule="exact"/>
        <w:ind w:firstLine="643" w:firstLineChars="200"/>
        <w:jc w:val="both"/>
        <w:textAlignment w:val="auto"/>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安置地点</w:t>
      </w:r>
    </w:p>
    <w:p w14:paraId="35F9094E">
      <w:pPr>
        <w:keepNext w:val="0"/>
        <w:keepLines w:val="0"/>
        <w:pageBreakBefore w:val="0"/>
        <w:widowControl w:val="0"/>
        <w:kinsoku/>
        <w:overflowPunct w:val="0"/>
        <w:topLinePunct w:val="0"/>
        <w:bidi w:val="0"/>
        <w:spacing w:line="530" w:lineRule="exact"/>
        <w:ind w:firstLine="640" w:firstLineChars="200"/>
        <w:jc w:val="both"/>
        <w:rPr>
          <w:rStyle w:val="30"/>
          <w:rFonts w:hint="eastAsia"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u w:val="none"/>
          <w:lang w:val="en-US" w:eastAsia="zh-CN"/>
        </w:rPr>
        <w:t>鲤城区常泰街道金泰花园二期新建安置房源</w:t>
      </w:r>
      <w:r>
        <w:rPr>
          <w:rFonts w:hint="eastAsia" w:ascii="Times New Roman" w:hAnsi="Times New Roman" w:eastAsia="方正仿宋简体" w:cs="方正仿宋简体"/>
          <w:color w:val="auto"/>
          <w:spacing w:val="0"/>
          <w:sz w:val="32"/>
          <w:szCs w:val="32"/>
          <w:highlight w:val="none"/>
          <w:u w:val="none"/>
          <w:lang w:eastAsia="zh-CN"/>
        </w:rPr>
        <w:t>。</w:t>
      </w:r>
    </w:p>
    <w:p w14:paraId="6DBB53EC">
      <w:pPr>
        <w:keepNext w:val="0"/>
        <w:keepLines w:val="0"/>
        <w:pageBreakBefore w:val="0"/>
        <w:widowControl w:val="0"/>
        <w:kinsoku/>
        <w:overflowPunct w:val="0"/>
        <w:topLinePunct w:val="0"/>
        <w:bidi w:val="0"/>
        <w:spacing w:line="530" w:lineRule="exact"/>
        <w:ind w:firstLine="643" w:firstLineChars="200"/>
        <w:jc w:val="both"/>
        <w:rPr>
          <w:rStyle w:val="30"/>
          <w:rFonts w:ascii="Times New Roman" w:hAnsi="Times New Roman" w:eastAsia="方正仿宋简体" w:cs="方正仿宋简体"/>
          <w:b/>
          <w:bCs/>
          <w:color w:val="auto"/>
          <w:spacing w:val="0"/>
          <w:sz w:val="32"/>
          <w:szCs w:val="32"/>
          <w:highlight w:val="none"/>
        </w:rPr>
      </w:pPr>
      <w:r>
        <w:rPr>
          <w:rStyle w:val="30"/>
          <w:rFonts w:hint="eastAsia" w:ascii="Times New Roman" w:hAnsi="Times New Roman" w:eastAsia="方正仿宋简体" w:cs="方正仿宋简体"/>
          <w:b/>
          <w:bCs/>
          <w:color w:val="auto"/>
          <w:spacing w:val="0"/>
          <w:sz w:val="32"/>
          <w:szCs w:val="32"/>
          <w:highlight w:val="none"/>
        </w:rPr>
        <w:t>第五条 征收补偿对象及补偿方式</w:t>
      </w:r>
    </w:p>
    <w:p w14:paraId="4A994900">
      <w:pPr>
        <w:keepNext w:val="0"/>
        <w:keepLines w:val="0"/>
        <w:pageBreakBefore w:val="0"/>
        <w:widowControl w:val="0"/>
        <w:kinsoku/>
        <w:overflowPunct w:val="0"/>
        <w:topLinePunct w:val="0"/>
        <w:bidi w:val="0"/>
        <w:spacing w:line="530" w:lineRule="exact"/>
        <w:ind w:firstLine="643" w:firstLineChars="200"/>
        <w:jc w:val="both"/>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b/>
          <w:bCs/>
          <w:color w:val="auto"/>
          <w:spacing w:val="0"/>
          <w:sz w:val="32"/>
          <w:szCs w:val="32"/>
          <w:highlight w:val="none"/>
        </w:rPr>
        <w:t>（一）补</w:t>
      </w:r>
      <w:r>
        <w:rPr>
          <w:rStyle w:val="30"/>
          <w:rFonts w:hint="eastAsia" w:ascii="Times New Roman" w:hAnsi="Times New Roman" w:eastAsia="方正仿宋简体" w:cs="方正仿宋简体"/>
          <w:b/>
          <w:bCs/>
          <w:color w:val="auto"/>
          <w:spacing w:val="-6"/>
          <w:sz w:val="32"/>
          <w:szCs w:val="32"/>
          <w:highlight w:val="none"/>
        </w:rPr>
        <w:t>偿对象：</w:t>
      </w:r>
      <w:r>
        <w:rPr>
          <w:rStyle w:val="30"/>
          <w:rFonts w:hint="eastAsia" w:ascii="Times New Roman" w:hAnsi="Times New Roman" w:eastAsia="方正仿宋简体" w:cs="方正仿宋简体"/>
          <w:color w:val="auto"/>
          <w:spacing w:val="-6"/>
          <w:sz w:val="32"/>
          <w:szCs w:val="32"/>
          <w:highlight w:val="none"/>
        </w:rPr>
        <w:t>凡在本征收范围内被征收房屋的所有权人为被征收人。由房屋征收部门与被征收人签订征收补偿安置协议。</w:t>
      </w:r>
    </w:p>
    <w:p w14:paraId="340D0920">
      <w:pPr>
        <w:keepNext w:val="0"/>
        <w:keepLines w:val="0"/>
        <w:pageBreakBefore w:val="0"/>
        <w:widowControl w:val="0"/>
        <w:kinsoku/>
        <w:overflowPunct w:val="0"/>
        <w:topLinePunct w:val="0"/>
        <w:bidi w:val="0"/>
        <w:spacing w:line="530" w:lineRule="exact"/>
        <w:ind w:firstLine="643" w:firstLineChars="200"/>
        <w:jc w:val="both"/>
        <w:rPr>
          <w:rStyle w:val="30"/>
          <w:rFonts w:hint="default" w:ascii="Times New Roman" w:hAnsi="Times New Roman" w:eastAsia="方正仿宋简体" w:cs="方正仿宋简体"/>
          <w:color w:val="auto"/>
          <w:spacing w:val="0"/>
          <w:sz w:val="32"/>
          <w:szCs w:val="32"/>
          <w:highlight w:val="none"/>
          <w:lang w:val="en-US" w:eastAsia="zh-CN"/>
        </w:rPr>
      </w:pPr>
      <w:r>
        <w:rPr>
          <w:rStyle w:val="30"/>
          <w:rFonts w:hint="eastAsia" w:ascii="Times New Roman" w:hAnsi="Times New Roman" w:eastAsia="方正仿宋简体" w:cs="方正仿宋简体"/>
          <w:b/>
          <w:bCs/>
          <w:color w:val="auto"/>
          <w:spacing w:val="0"/>
          <w:sz w:val="32"/>
          <w:szCs w:val="32"/>
          <w:highlight w:val="none"/>
        </w:rPr>
        <w:t>（二）补偿方式：</w:t>
      </w:r>
      <w:r>
        <w:rPr>
          <w:rStyle w:val="30"/>
          <w:rFonts w:hint="eastAsia" w:ascii="Times New Roman" w:hAnsi="Times New Roman" w:eastAsia="方正仿宋简体" w:cs="方正仿宋简体"/>
          <w:color w:val="auto"/>
          <w:spacing w:val="0"/>
          <w:sz w:val="32"/>
          <w:szCs w:val="32"/>
          <w:highlight w:val="none"/>
        </w:rPr>
        <w:t>包括货币补偿、产权调换</w:t>
      </w:r>
      <w:r>
        <w:rPr>
          <w:rStyle w:val="30"/>
          <w:rFonts w:hint="eastAsia" w:ascii="Times New Roman" w:hAnsi="Times New Roman" w:eastAsia="方正仿宋简体" w:cs="方正仿宋简体"/>
          <w:color w:val="auto"/>
          <w:spacing w:val="0"/>
          <w:sz w:val="32"/>
          <w:szCs w:val="32"/>
          <w:highlight w:val="none"/>
          <w:lang w:eastAsia="zh-CN"/>
        </w:rPr>
        <w:t>、</w:t>
      </w:r>
      <w:r>
        <w:rPr>
          <w:rStyle w:val="30"/>
          <w:rFonts w:hint="eastAsia" w:ascii="Times New Roman" w:hAnsi="Times New Roman" w:eastAsia="方正仿宋简体" w:cs="方正仿宋简体"/>
          <w:color w:val="auto"/>
          <w:spacing w:val="0"/>
          <w:sz w:val="32"/>
          <w:szCs w:val="32"/>
          <w:highlight w:val="none"/>
          <w:lang w:val="en-US" w:eastAsia="zh-CN"/>
        </w:rPr>
        <w:t>部分产权调换与部分货币补偿相结合</w:t>
      </w:r>
      <w:r>
        <w:rPr>
          <w:rStyle w:val="30"/>
          <w:rFonts w:hint="eastAsia" w:ascii="Times New Roman" w:hAnsi="Times New Roman" w:eastAsia="方正仿宋简体" w:cs="方正仿宋简体"/>
          <w:color w:val="auto"/>
          <w:spacing w:val="0"/>
          <w:sz w:val="32"/>
          <w:szCs w:val="32"/>
          <w:highlight w:val="none"/>
        </w:rPr>
        <w:t>三种方式。</w:t>
      </w:r>
      <w:r>
        <w:rPr>
          <w:rStyle w:val="30"/>
          <w:rFonts w:hint="eastAsia" w:ascii="Times New Roman" w:hAnsi="Times New Roman" w:eastAsia="方正仿宋简体" w:cs="方正仿宋简体"/>
          <w:color w:val="auto"/>
          <w:spacing w:val="0"/>
          <w:sz w:val="32"/>
          <w:szCs w:val="32"/>
          <w:highlight w:val="none"/>
          <w:lang w:val="en-US" w:eastAsia="zh-CN"/>
        </w:rPr>
        <w:t>产权调换实行等价置换。</w:t>
      </w:r>
    </w:p>
    <w:p w14:paraId="6A8903A9">
      <w:pPr>
        <w:keepNext w:val="0"/>
        <w:keepLines w:val="0"/>
        <w:pageBreakBefore w:val="0"/>
        <w:widowControl w:val="0"/>
        <w:kinsoku/>
        <w:overflowPunct w:val="0"/>
        <w:topLinePunct w:val="0"/>
        <w:bidi w:val="0"/>
        <w:spacing w:line="530" w:lineRule="exact"/>
        <w:ind w:firstLine="640" w:firstLineChars="200"/>
        <w:jc w:val="both"/>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1.住宅</w:t>
      </w:r>
    </w:p>
    <w:p w14:paraId="23CCD2F3">
      <w:pPr>
        <w:keepNext w:val="0"/>
        <w:keepLines w:val="0"/>
        <w:pageBreakBefore w:val="0"/>
        <w:widowControl w:val="0"/>
        <w:kinsoku/>
        <w:overflowPunct w:val="0"/>
        <w:topLinePunct w:val="0"/>
        <w:bidi w:val="0"/>
        <w:spacing w:line="530" w:lineRule="exact"/>
        <w:ind w:firstLine="640" w:firstLineChars="200"/>
        <w:jc w:val="both"/>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选择货币补偿的，必须权属清楚。凡权属不清或有产权纠纷的，必须实行产权调换。</w:t>
      </w:r>
    </w:p>
    <w:p w14:paraId="52FBD3C1">
      <w:pPr>
        <w:keepNext w:val="0"/>
        <w:keepLines w:val="0"/>
        <w:pageBreakBefore w:val="0"/>
        <w:widowControl w:val="0"/>
        <w:kinsoku/>
        <w:overflowPunct w:val="0"/>
        <w:topLinePunct w:val="0"/>
        <w:bidi w:val="0"/>
        <w:spacing w:line="530" w:lineRule="exact"/>
        <w:ind w:firstLine="640" w:firstLineChars="200"/>
        <w:jc w:val="both"/>
        <w:rPr>
          <w:rStyle w:val="30"/>
          <w:rFonts w:hint="eastAsia" w:ascii="Times New Roman" w:hAnsi="Times New Roman" w:eastAsia="方正仿宋简体" w:cs="方正仿宋简体"/>
          <w:color w:val="auto"/>
          <w:spacing w:val="0"/>
          <w:sz w:val="32"/>
          <w:szCs w:val="32"/>
          <w:highlight w:val="none"/>
          <w:lang w:eastAsia="zh-CN"/>
        </w:rPr>
      </w:pPr>
      <w:r>
        <w:rPr>
          <w:rStyle w:val="30"/>
          <w:rFonts w:hint="eastAsia" w:ascii="Times New Roman" w:hAnsi="Times New Roman" w:eastAsia="方正仿宋简体" w:cs="方正仿宋简体"/>
          <w:color w:val="auto"/>
          <w:spacing w:val="0"/>
          <w:sz w:val="32"/>
          <w:szCs w:val="32"/>
          <w:highlight w:val="none"/>
        </w:rPr>
        <w:t>产权清楚的被征收住宅经认定的可补偿面积在50㎡以下（含50㎡）的，原则上只能选择货币补偿</w:t>
      </w:r>
      <w:r>
        <w:rPr>
          <w:rStyle w:val="30"/>
          <w:rFonts w:hint="eastAsia" w:ascii="Times New Roman" w:hAnsi="Times New Roman" w:eastAsia="方正仿宋简体" w:cs="方正仿宋简体"/>
          <w:color w:val="auto"/>
          <w:spacing w:val="0"/>
          <w:sz w:val="32"/>
          <w:szCs w:val="32"/>
          <w:highlight w:val="none"/>
          <w:lang w:eastAsia="zh-CN"/>
        </w:rPr>
        <w:t>。</w:t>
      </w:r>
    </w:p>
    <w:p w14:paraId="30EB8F49">
      <w:pPr>
        <w:keepNext w:val="0"/>
        <w:keepLines w:val="0"/>
        <w:pageBreakBefore w:val="0"/>
        <w:widowControl w:val="0"/>
        <w:kinsoku/>
        <w:overflowPunct w:val="0"/>
        <w:topLinePunct w:val="0"/>
        <w:bidi w:val="0"/>
        <w:spacing w:line="530" w:lineRule="exact"/>
        <w:ind w:firstLine="640" w:firstLineChars="200"/>
        <w:jc w:val="both"/>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2.店面</w:t>
      </w:r>
    </w:p>
    <w:p w14:paraId="7BA750E5">
      <w:pPr>
        <w:keepNext w:val="0"/>
        <w:keepLines w:val="0"/>
        <w:pageBreakBefore w:val="0"/>
        <w:widowControl w:val="0"/>
        <w:kinsoku/>
        <w:overflowPunct w:val="0"/>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经城市规划部门批准或房屋所有权证记载为店面的，根据其经批准的店面面积或产权登记的店面面积，给予货币补偿。</w:t>
      </w:r>
    </w:p>
    <w:p w14:paraId="5254EC40">
      <w:pPr>
        <w:keepNext w:val="0"/>
        <w:keepLines w:val="0"/>
        <w:pageBreakBefore w:val="0"/>
        <w:widowControl w:val="0"/>
        <w:kinsoku/>
        <w:overflowPunct w:val="0"/>
        <w:topLinePunct w:val="0"/>
        <w:bidi w:val="0"/>
        <w:spacing w:line="530" w:lineRule="exact"/>
        <w:ind w:firstLine="640" w:firstLineChars="200"/>
        <w:jc w:val="both"/>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3.“住改非”房屋，一律按住宅给予征收补偿。</w:t>
      </w:r>
    </w:p>
    <w:p w14:paraId="6DCEF2DC">
      <w:pPr>
        <w:keepNext w:val="0"/>
        <w:keepLines w:val="0"/>
        <w:pageBreakBefore w:val="0"/>
        <w:widowControl w:val="0"/>
        <w:kinsoku/>
        <w:overflowPunct w:val="0"/>
        <w:topLinePunct w:val="0"/>
        <w:bidi w:val="0"/>
        <w:spacing w:line="530" w:lineRule="exact"/>
        <w:ind w:firstLine="640" w:firstLineChars="200"/>
        <w:jc w:val="both"/>
        <w:rPr>
          <w:rStyle w:val="30"/>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4.企业厂房、仓库及其他配套用房，实行货币补偿。</w:t>
      </w:r>
    </w:p>
    <w:p w14:paraId="33CFCA64">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5.</w:t>
      </w:r>
      <w:r>
        <w:rPr>
          <w:rFonts w:hint="eastAsia" w:ascii="Times New Roman" w:hAnsi="Times New Roman" w:eastAsia="方正仿宋简体" w:cs="方正仿宋简体"/>
          <w:bCs/>
          <w:color w:val="auto"/>
          <w:spacing w:val="0"/>
          <w:sz w:val="32"/>
          <w:szCs w:val="32"/>
          <w:highlight w:val="none"/>
        </w:rPr>
        <w:t>事</w:t>
      </w:r>
      <w:r>
        <w:rPr>
          <w:rFonts w:hint="eastAsia" w:ascii="Times New Roman" w:hAnsi="Times New Roman" w:eastAsia="方正仿宋简体" w:cs="方正仿宋简体"/>
          <w:color w:val="auto"/>
          <w:spacing w:val="0"/>
          <w:sz w:val="32"/>
          <w:szCs w:val="32"/>
          <w:highlight w:val="none"/>
        </w:rPr>
        <w:t>业单位办公用房，原则上实行货币补偿；工业用地性质的事业单位办公用房不适用本条款，应参照厂房执行；商业性质建筑，可采取评估方式评估被征收房屋价值，评估结果作为补偿依据。</w:t>
      </w:r>
    </w:p>
    <w:p w14:paraId="70464FEB">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6.临时建筑、附属物（水、电表除外），实行一次性货币补偿（见附表六）。</w:t>
      </w:r>
    </w:p>
    <w:p w14:paraId="2CFA42BF">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7.征收中涉及军事设施、教堂、寺庙以及文物古迹等房屋，依照有关法律、法规处理。</w:t>
      </w:r>
    </w:p>
    <w:p w14:paraId="41CB1B0B">
      <w:pPr>
        <w:keepNext w:val="0"/>
        <w:keepLines w:val="0"/>
        <w:pageBreakBefore w:val="0"/>
        <w:widowControl w:val="0"/>
        <w:kinsoku/>
        <w:wordWrap/>
        <w:overflowPunct w:val="0"/>
        <w:topLinePunct w:val="0"/>
        <w:autoSpaceDE/>
        <w:autoSpaceDN/>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（三）性质、用途认定依据</w:t>
      </w:r>
    </w:p>
    <w:p w14:paraId="6508712B">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以土地使用证</w:t>
      </w:r>
      <w:r>
        <w:rPr>
          <w:rFonts w:hint="eastAsia" w:ascii="Times New Roman" w:hAnsi="Times New Roman" w:eastAsia="方正仿宋简体" w:cs="方正仿宋简体"/>
          <w:color w:val="auto"/>
          <w:spacing w:val="0"/>
          <w:sz w:val="32"/>
          <w:szCs w:val="32"/>
          <w:highlight w:val="none"/>
          <w:lang w:eastAsia="zh-CN"/>
        </w:rPr>
        <w:t>、</w:t>
      </w:r>
      <w:r>
        <w:rPr>
          <w:rFonts w:hint="eastAsia" w:ascii="Times New Roman" w:hAnsi="Times New Roman" w:eastAsia="方正仿宋简体" w:cs="方正仿宋简体"/>
          <w:color w:val="auto"/>
          <w:spacing w:val="0"/>
          <w:sz w:val="32"/>
          <w:szCs w:val="32"/>
          <w:highlight w:val="none"/>
        </w:rPr>
        <w:t>房屋所有权证</w:t>
      </w:r>
      <w:r>
        <w:rPr>
          <w:rFonts w:hint="eastAsia" w:ascii="Times New Roman" w:hAnsi="Times New Roman" w:eastAsia="方正仿宋简体" w:cs="方正仿宋简体"/>
          <w:color w:val="auto"/>
          <w:spacing w:val="0"/>
          <w:sz w:val="32"/>
          <w:szCs w:val="32"/>
          <w:highlight w:val="none"/>
          <w:lang w:eastAsia="zh-CN"/>
        </w:rPr>
        <w:t>、</w:t>
      </w:r>
      <w:r>
        <w:rPr>
          <w:rFonts w:hint="eastAsia" w:ascii="Times New Roman" w:hAnsi="Times New Roman" w:eastAsia="方正仿宋简体" w:cs="方正仿宋简体"/>
          <w:color w:val="auto"/>
          <w:spacing w:val="0"/>
          <w:sz w:val="32"/>
          <w:szCs w:val="32"/>
          <w:highlight w:val="none"/>
        </w:rPr>
        <w:t>不动产权证登记的用途或以自然资源和规划部门颁发的合法有效文件为依据。</w:t>
      </w:r>
    </w:p>
    <w:p w14:paraId="075A8518">
      <w:pPr>
        <w:keepNext w:val="0"/>
        <w:keepLines w:val="0"/>
        <w:pageBreakBefore w:val="0"/>
        <w:widowControl w:val="0"/>
        <w:numPr>
          <w:ilvl w:val="0"/>
          <w:numId w:val="2"/>
        </w:numPr>
        <w:kinsoku/>
        <w:wordWrap/>
        <w:overflowPunct w:val="0"/>
        <w:topLinePunct w:val="0"/>
        <w:autoSpaceDE/>
        <w:autoSpaceDN/>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面积测算</w:t>
      </w:r>
    </w:p>
    <w:p w14:paraId="14DE0E91">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面积测量由具有房地产测绘资质的测量单位，依据国家、省、市现行房地产测绘技术规范计算。</w:t>
      </w:r>
    </w:p>
    <w:p w14:paraId="1D1026B4">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shd w:val="clear" w:color="auto" w:fill="FFFFFF"/>
        </w:rPr>
        <w:t>1.</w:t>
      </w:r>
      <w:r>
        <w:rPr>
          <w:rFonts w:hint="eastAsia" w:ascii="Times New Roman" w:hAnsi="Times New Roman" w:eastAsia="方正仿宋简体" w:cs="方正仿宋简体"/>
          <w:color w:val="auto"/>
          <w:spacing w:val="0"/>
          <w:sz w:val="32"/>
          <w:szCs w:val="32"/>
          <w:highlight w:val="none"/>
        </w:rPr>
        <w:t>对本方案中所列价格无异议、在征收决定公告规定的期限内签订协议并按时搬迁的，其被征收房屋除按国家现行的房地产测量规范计算建筑面积外，有下列情况的可优惠计算征收面积：</w:t>
      </w:r>
    </w:p>
    <w:p w14:paraId="51BA8671">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（1）平屋外墙至滴水线的水平投影面积部分，可按50%计算征收面积。</w:t>
      </w:r>
    </w:p>
    <w:p w14:paraId="793184C1">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（2）平屋的天井按50%计算征收面积。</w:t>
      </w:r>
    </w:p>
    <w:p w14:paraId="574E8200">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（3）围墙上的大门雨披按50%计算征收面积。</w:t>
      </w:r>
    </w:p>
    <w:p w14:paraId="08610325">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（4）利用坡屋顶空间作为阁楼的建筑，其楼底高度在2.2米（含2.2米）以上，且阁楼层高在1.6米（含1.6米）以上的部分按50%计算征收面积（层高在1.6米以下的部分按附属物给予补偿）。</w:t>
      </w:r>
    </w:p>
    <w:p w14:paraId="617C361B">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（5）通往屋顶的风楼，层高超过2.2米（含2.2米）的，按100%计算征收面积（层高低于2.2米的，按附属物给予补偿）。</w:t>
      </w:r>
    </w:p>
    <w:p w14:paraId="70550F20">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（6）房屋顶层建筑面积为底层建筑面积1/3以内的（含），不计入总层数。</w:t>
      </w:r>
    </w:p>
    <w:p w14:paraId="42CB5F15">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shd w:val="clear" w:color="auto" w:fill="FFFFFF"/>
        </w:rPr>
        <w:t>2.</w:t>
      </w:r>
      <w:r>
        <w:rPr>
          <w:rFonts w:hint="eastAsia" w:ascii="Times New Roman" w:hAnsi="Times New Roman" w:eastAsia="方正仿宋简体" w:cs="方正仿宋简体"/>
          <w:color w:val="auto"/>
          <w:spacing w:val="0"/>
          <w:sz w:val="32"/>
          <w:szCs w:val="32"/>
          <w:highlight w:val="none"/>
        </w:rPr>
        <w:t>对本方案中所列价格有异议、未在征收决定公告规定期限内完成签订协议并按时搬迁的，其被征收房屋建筑面积按国家现行房地产测量规范计算，不再适用上述计算面积的优惠办法。</w:t>
      </w:r>
    </w:p>
    <w:p w14:paraId="6AC79F94">
      <w:pPr>
        <w:keepNext w:val="0"/>
        <w:keepLines w:val="0"/>
        <w:pageBreakBefore w:val="0"/>
        <w:widowControl w:val="0"/>
        <w:kinsoku/>
        <w:wordWrap/>
        <w:overflowPunct w:val="0"/>
        <w:topLinePunct w:val="0"/>
        <w:autoSpaceDE/>
        <w:autoSpaceDN/>
        <w:bidi w:val="0"/>
        <w:adjustRightInd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第六条 选房办法</w:t>
      </w:r>
    </w:p>
    <w:p w14:paraId="056A209F">
      <w:pPr>
        <w:keepNext w:val="0"/>
        <w:keepLines w:val="0"/>
        <w:pageBreakBefore w:val="0"/>
        <w:widowControl w:val="0"/>
        <w:numPr>
          <w:ilvl w:val="0"/>
          <w:numId w:val="3"/>
        </w:numPr>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选房原则：“先签约、先腾空</w:t>
      </w:r>
      <w:r>
        <w:rPr>
          <w:rFonts w:hint="eastAsia" w:ascii="Times New Roman" w:hAnsi="Times New Roman" w:eastAsia="方正仿宋简体" w:cs="方正仿宋简体"/>
          <w:color w:val="auto"/>
          <w:spacing w:val="0"/>
          <w:sz w:val="32"/>
          <w:szCs w:val="32"/>
          <w:highlight w:val="none"/>
          <w:lang w:eastAsia="zh-CN"/>
        </w:rPr>
        <w:t>、</w:t>
      </w:r>
      <w:r>
        <w:rPr>
          <w:rFonts w:hint="eastAsia" w:ascii="Times New Roman" w:hAnsi="Times New Roman" w:eastAsia="方正仿宋简体" w:cs="方正仿宋简体"/>
          <w:color w:val="auto"/>
          <w:spacing w:val="0"/>
          <w:sz w:val="32"/>
          <w:szCs w:val="32"/>
          <w:highlight w:val="none"/>
        </w:rPr>
        <w:t>先选房”。</w:t>
      </w:r>
    </w:p>
    <w:p w14:paraId="4567AAC6">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选择</w:t>
      </w:r>
      <w:r>
        <w:rPr>
          <w:rFonts w:hint="eastAsia" w:ascii="Times New Roman" w:hAnsi="Times New Roman" w:eastAsia="方正仿宋简体" w:cs="方正仿宋简体"/>
          <w:color w:val="auto"/>
          <w:spacing w:val="0"/>
          <w:sz w:val="32"/>
          <w:szCs w:val="32"/>
          <w:highlight w:val="none"/>
          <w:lang w:val="en-US" w:eastAsia="zh-CN"/>
        </w:rPr>
        <w:t>产权调换</w:t>
      </w:r>
      <w:r>
        <w:rPr>
          <w:rFonts w:hint="eastAsia" w:ascii="Times New Roman" w:hAnsi="Times New Roman" w:eastAsia="方正仿宋简体" w:cs="方正仿宋简体"/>
          <w:color w:val="auto"/>
          <w:spacing w:val="0"/>
          <w:sz w:val="32"/>
          <w:szCs w:val="32"/>
          <w:highlight w:val="none"/>
        </w:rPr>
        <w:t>的，完成签约腾空后发放《房屋征收补偿安置证顺序号》，若同一日有两户或两户以上完成签约腾空的，次日以公开拈阄方式确定先后顺序。选房时，被征收人凭《房屋征收补偿安置证顺序号》按顺序选房，签订选房协议。</w:t>
      </w:r>
    </w:p>
    <w:p w14:paraId="7A94559D">
      <w:pPr>
        <w:keepNext w:val="0"/>
        <w:keepLines w:val="0"/>
        <w:pageBreakBefore w:val="0"/>
        <w:widowControl w:val="0"/>
        <w:kinsoku/>
        <w:wordWrap/>
        <w:overflowPunct w:val="0"/>
        <w:topLinePunct w:val="0"/>
        <w:autoSpaceDE/>
        <w:autoSpaceDN/>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为落实国家保护华侨私有房屋政策及离休干部待遇政策，被征收人的房屋经市或区侨台外事局（侨台办）确认为华侨私有房屋的，或被征收人持有离休干部证明材料的，被征收人在完成签约腾空的当日，优先于当日其他被征收人取得《房屋征收补偿安置证顺序号》；若同一日内有两户或两户以上华侨或离休干部的房屋完成签约腾空的，《房屋征收补偿安置证顺序号》以公开拈阄的方式确定先后顺序。</w:t>
      </w:r>
    </w:p>
    <w:p w14:paraId="1500ADF6">
      <w:pPr>
        <w:keepNext w:val="0"/>
        <w:keepLines w:val="0"/>
        <w:pageBreakBefore w:val="0"/>
        <w:widowControl w:val="0"/>
        <w:kinsoku/>
        <w:wordWrap/>
        <w:overflowPunct w:val="0"/>
        <w:topLinePunct w:val="0"/>
        <w:autoSpaceDE/>
        <w:autoSpaceDN/>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第七条 补偿价格确定办法</w:t>
      </w:r>
    </w:p>
    <w:p w14:paraId="448E198C">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color w:val="auto"/>
          <w:spacing w:val="0"/>
          <w:sz w:val="32"/>
          <w:szCs w:val="32"/>
          <w:highlight w:val="none"/>
          <w:shd w:val="clear" w:color="auto" w:fill="auto"/>
        </w:rPr>
      </w:pPr>
      <w:r>
        <w:rPr>
          <w:rFonts w:hint="eastAsia" w:ascii="Times New Roman" w:hAnsi="Times New Roman" w:eastAsia="方正仿宋简体" w:cs="方正仿宋简体"/>
          <w:b/>
          <w:color w:val="auto"/>
          <w:spacing w:val="0"/>
          <w:sz w:val="32"/>
          <w:szCs w:val="32"/>
          <w:highlight w:val="none"/>
          <w:shd w:val="clear" w:color="auto" w:fill="auto"/>
        </w:rPr>
        <w:t>（一）被征收房屋补偿参考价</w:t>
      </w:r>
    </w:p>
    <w:p w14:paraId="3BB80009">
      <w:pPr>
        <w:keepNext w:val="0"/>
        <w:keepLines w:val="0"/>
        <w:pageBreakBefore w:val="0"/>
        <w:widowControl w:val="0"/>
        <w:kinsoku/>
        <w:overflowPunct w:val="0"/>
        <w:topLinePunct w:val="0"/>
        <w:bidi w:val="0"/>
        <w:spacing w:line="530" w:lineRule="exact"/>
        <w:ind w:firstLine="640" w:firstLineChars="200"/>
        <w:jc w:val="both"/>
        <w:rPr>
          <w:rFonts w:hint="eastAsia"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根据泉州市人民政府办公室《关于印发泉州市推进房屋征收补偿安置工作若干意见的通知》（泉政办〔2022〕9号）规定确定本方案的补偿参考价，作为与被征收人协商补偿的依据。</w:t>
      </w:r>
    </w:p>
    <w:p w14:paraId="5135E2E6">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hint="eastAsia" w:ascii="Times New Roman" w:hAnsi="Times New Roman" w:eastAsia="方正仿宋简体" w:cs="方正仿宋简体"/>
          <w:b/>
          <w:color w:val="auto"/>
          <w:spacing w:val="0"/>
          <w:sz w:val="32"/>
          <w:szCs w:val="32"/>
          <w:highlight w:val="none"/>
          <w:shd w:val="clear" w:color="auto" w:fill="auto"/>
        </w:rPr>
      </w:pPr>
      <w:r>
        <w:rPr>
          <w:rFonts w:hint="eastAsia" w:ascii="Times New Roman" w:hAnsi="Times New Roman" w:eastAsia="方正仿宋简体" w:cs="方正仿宋简体"/>
          <w:b/>
          <w:color w:val="auto"/>
          <w:spacing w:val="0"/>
          <w:sz w:val="32"/>
          <w:szCs w:val="32"/>
          <w:highlight w:val="none"/>
          <w:shd w:val="clear" w:color="auto" w:fill="auto"/>
        </w:rPr>
        <w:t>（二）分户补偿评估价</w:t>
      </w:r>
    </w:p>
    <w:p w14:paraId="66CA5FB1">
      <w:pPr>
        <w:keepNext w:val="0"/>
        <w:keepLines w:val="0"/>
        <w:pageBreakBefore w:val="0"/>
        <w:widowControl w:val="0"/>
        <w:kinsoku/>
        <w:overflowPunct w:val="0"/>
        <w:topLinePunct w:val="0"/>
        <w:bidi w:val="0"/>
        <w:spacing w:line="530" w:lineRule="exact"/>
        <w:ind w:firstLine="640" w:firstLineChars="200"/>
        <w:jc w:val="both"/>
        <w:rPr>
          <w:rFonts w:hint="eastAsia"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对本方案所列补偿参考价有异议的，可由依法选定的房地产价格评估机构对被征收房屋价值进行分户评估，</w:t>
      </w:r>
      <w:r>
        <w:rPr>
          <w:rFonts w:hint="eastAsia" w:eastAsia="方正仿宋简体" w:cs="方正仿宋简体"/>
          <w:color w:val="auto"/>
          <w:spacing w:val="0"/>
          <w:sz w:val="32"/>
          <w:szCs w:val="32"/>
          <w:highlight w:val="none"/>
          <w:lang w:eastAsia="zh-CN"/>
        </w:rPr>
        <w:t>出具《房地产估价报告》，估价</w:t>
      </w:r>
      <w:r>
        <w:rPr>
          <w:rFonts w:hint="eastAsia" w:ascii="Times New Roman" w:hAnsi="Times New Roman" w:eastAsia="方正仿宋简体" w:cs="方正仿宋简体"/>
          <w:color w:val="auto"/>
          <w:spacing w:val="0"/>
          <w:sz w:val="32"/>
          <w:szCs w:val="32"/>
          <w:highlight w:val="none"/>
        </w:rPr>
        <w:t>结果作为补偿依据，不再按本方案确定的补偿参考价补偿。选择分户评估且选择产权调换的，还应同时对</w:t>
      </w:r>
      <w:r>
        <w:rPr>
          <w:rFonts w:hint="eastAsia" w:ascii="Times New Roman" w:hAnsi="Times New Roman" w:eastAsia="方正仿宋简体" w:cs="方正仿宋简体"/>
          <w:color w:val="auto"/>
          <w:spacing w:val="0"/>
          <w:sz w:val="32"/>
          <w:szCs w:val="32"/>
          <w:highlight w:val="none"/>
          <w:lang w:val="en-US" w:eastAsia="zh-CN"/>
        </w:rPr>
        <w:t>用于产权调换房屋</w:t>
      </w:r>
      <w:r>
        <w:rPr>
          <w:rFonts w:hint="eastAsia" w:ascii="Times New Roman" w:hAnsi="Times New Roman" w:eastAsia="方正仿宋简体" w:cs="方正仿宋简体"/>
          <w:color w:val="auto"/>
          <w:spacing w:val="0"/>
          <w:sz w:val="32"/>
          <w:szCs w:val="32"/>
          <w:highlight w:val="none"/>
        </w:rPr>
        <w:t>价值进行评估，并计算、结清被征收房屋价值与</w:t>
      </w:r>
      <w:r>
        <w:rPr>
          <w:rFonts w:hint="eastAsia" w:ascii="Times New Roman" w:hAnsi="Times New Roman" w:eastAsia="方正仿宋简体" w:cs="方正仿宋简体"/>
          <w:color w:val="auto"/>
          <w:spacing w:val="0"/>
          <w:sz w:val="32"/>
          <w:szCs w:val="32"/>
          <w:highlight w:val="none"/>
          <w:lang w:val="en-US" w:eastAsia="zh-CN"/>
        </w:rPr>
        <w:t>用于产权调换房屋</w:t>
      </w:r>
      <w:r>
        <w:rPr>
          <w:rFonts w:hint="eastAsia" w:ascii="Times New Roman" w:hAnsi="Times New Roman" w:eastAsia="方正仿宋简体" w:cs="方正仿宋简体"/>
          <w:color w:val="auto"/>
          <w:spacing w:val="0"/>
          <w:sz w:val="32"/>
          <w:szCs w:val="32"/>
          <w:highlight w:val="none"/>
        </w:rPr>
        <w:t>之间的差价，不再享受本方案规定的优惠奖励。</w:t>
      </w:r>
    </w:p>
    <w:p w14:paraId="393124BA">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人或房屋征收部门对房屋评估价值有异议的，可自收到估价报告之日起10日内向原房地产价格评估机构申请复核。对复核结果仍有异议的，可自收到复核结果之日起10日内向泉州市房屋征收评估鉴定专家委员会申请鉴定。</w:t>
      </w:r>
    </w:p>
    <w:p w14:paraId="752EB121">
      <w:pPr>
        <w:pStyle w:val="5"/>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30" w:lineRule="exact"/>
        <w:jc w:val="center"/>
        <w:textAlignment w:val="auto"/>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黑体" w:cs="黑体"/>
          <w:color w:val="auto"/>
          <w:spacing w:val="0"/>
          <w:kern w:val="0"/>
          <w:sz w:val="32"/>
          <w:szCs w:val="32"/>
          <w:highlight w:val="none"/>
          <w:lang w:val="en-US" w:eastAsia="zh-CN" w:bidi="ar-SA"/>
        </w:rPr>
        <w:t>第二部分</w:t>
      </w:r>
      <w:r>
        <w:rPr>
          <w:rFonts w:hint="eastAsia" w:ascii="Times New Roman" w:hAnsi="Times New Roman" w:eastAsia="黑体" w:cs="黑体"/>
          <w:color w:val="auto"/>
          <w:spacing w:val="0"/>
          <w:sz w:val="32"/>
          <w:szCs w:val="32"/>
          <w:highlight w:val="none"/>
          <w:lang w:val="en-US" w:eastAsia="zh-CN"/>
        </w:rPr>
        <w:t xml:space="preserve">  </w:t>
      </w:r>
      <w:r>
        <w:rPr>
          <w:rFonts w:hint="eastAsia" w:ascii="Times New Roman" w:hAnsi="Times New Roman" w:eastAsia="黑体" w:cs="黑体"/>
          <w:color w:val="auto"/>
          <w:spacing w:val="0"/>
          <w:sz w:val="32"/>
          <w:szCs w:val="32"/>
          <w:highlight w:val="none"/>
        </w:rPr>
        <w:t>房屋权属认定和处理办法</w:t>
      </w:r>
    </w:p>
    <w:p w14:paraId="16A666C4">
      <w:pPr>
        <w:pStyle w:val="5"/>
        <w:keepNext w:val="0"/>
        <w:keepLines w:val="0"/>
        <w:pageBreakBefore w:val="0"/>
        <w:widowControl w:val="0"/>
        <w:kinsoku/>
        <w:topLinePunct w:val="0"/>
        <w:bidi w:val="0"/>
        <w:spacing w:line="530" w:lineRule="exact"/>
        <w:ind w:firstLine="643" w:firstLineChars="200"/>
        <w:jc w:val="both"/>
        <w:rPr>
          <w:rFonts w:ascii="Times New Roman" w:hAnsi="Times New Roman" w:eastAsia="方正仿宋简体" w:cs="方正仿宋简体"/>
          <w:b/>
          <w:bCs/>
          <w:color w:val="auto"/>
          <w:spacing w:val="-11"/>
          <w:sz w:val="32"/>
          <w:szCs w:val="32"/>
          <w:highlight w:val="none"/>
        </w:rPr>
      </w:pPr>
      <w:r>
        <w:rPr>
          <w:rFonts w:hint="eastAsia" w:ascii="Times New Roman" w:hAnsi="Times New Roman" w:eastAsia="方正仿宋简体" w:cs="方正仿宋简体"/>
          <w:b/>
          <w:bCs/>
          <w:color w:val="auto"/>
          <w:spacing w:val="0"/>
          <w:sz w:val="32"/>
          <w:szCs w:val="32"/>
          <w:highlight w:val="none"/>
        </w:rPr>
        <w:t>第八条 住</w:t>
      </w:r>
      <w:r>
        <w:rPr>
          <w:rFonts w:hint="eastAsia" w:ascii="Times New Roman" w:hAnsi="Times New Roman" w:eastAsia="方正仿宋简体" w:cs="方正仿宋简体"/>
          <w:b/>
          <w:bCs/>
          <w:color w:val="auto"/>
          <w:spacing w:val="-11"/>
          <w:sz w:val="32"/>
          <w:szCs w:val="32"/>
          <w:highlight w:val="none"/>
        </w:rPr>
        <w:t>宅房屋权属的认定和未经登记建筑的认定处理办法</w:t>
      </w:r>
    </w:p>
    <w:p w14:paraId="7F29989F">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根据泉州市人民政府办公室《关于印发在中心市区国有土地上对未经登记建筑调查认定处理意见和实施房屋征收补偿指导意见的通知》（泉政办〔2015〕112号）规定，对住宅房屋权属的认定和未登记建筑的认定处理如下：</w:t>
      </w:r>
    </w:p>
    <w:p w14:paraId="340D8681">
      <w:pPr>
        <w:pStyle w:val="5"/>
        <w:keepNext w:val="0"/>
        <w:keepLines w:val="0"/>
        <w:pageBreakBefore w:val="0"/>
        <w:widowControl w:val="0"/>
        <w:kinsoku/>
        <w:topLinePunct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（一）住宅合法产权的认定</w:t>
      </w:r>
    </w:p>
    <w:p w14:paraId="679F9AC3">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持有有效土地使用证、房屋所有权证、不动产权证的房屋。</w:t>
      </w:r>
    </w:p>
    <w:p w14:paraId="0D975BBE">
      <w:pPr>
        <w:pStyle w:val="5"/>
        <w:keepNext w:val="0"/>
        <w:keepLines w:val="0"/>
        <w:pageBreakBefore w:val="0"/>
        <w:widowControl w:val="0"/>
        <w:kinsoku/>
        <w:topLinePunct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（二）可认定给予补偿的情形</w:t>
      </w:r>
    </w:p>
    <w:p w14:paraId="3C21C8A4">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为照顾被征收人利益，结合项目实际情况，凡对本方案中所列价格无异议、在征收决定规定的签约期限内签订协议并按时搬迁的，未经登记的建筑有下列情形之一的，且属一户一宅对象的住宅房屋，三层以下部分（含三层）可按原批准面积给予补偿：</w:t>
      </w:r>
    </w:p>
    <w:p w14:paraId="162B5BE9">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1.“土改”时县级以上人民政府颁发的《土地房产所有证》记载的住宅房屋；</w:t>
      </w:r>
    </w:p>
    <w:p w14:paraId="120BC898">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2.1987年1月1日《中华人民共和国土地管理法》实施前，经生产队（村民小组）、大队（村委会）、公社（乡、镇）三级批准基建的住宅房屋；</w:t>
      </w:r>
    </w:p>
    <w:p w14:paraId="5CAEE6C3">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3.1987年1月1日《中华人民共和国土地管理法》实施后至1995年12月25日泉州市人民政府《关于泉州市城市规划区范围内实行统一规划管理的通知》（泉政〔1995〕综309号）实施前，经县级政府批准使用耕地基建的或经乡（镇）级政府批准使用空闲杂地基建的住宅房屋；</w:t>
      </w:r>
    </w:p>
    <w:p w14:paraId="2D80C713">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4.1995年12月25日泉州市人民政府《关于泉州市城市规划区范围内实行统一规划管理的通知》（泉政〔1995〕综309号）实施后，经泉州市城乡规划行政主管部门批准基建的住宅房屋；</w:t>
      </w:r>
    </w:p>
    <w:p w14:paraId="5644E772">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5.持有市、区土地清查手续及发票（原件）的房屋；</w:t>
      </w:r>
    </w:p>
    <w:p w14:paraId="1FB6925D">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6.征收属市（县、区）政府建设项目二次安置自建的房屋；</w:t>
      </w:r>
    </w:p>
    <w:p w14:paraId="0A5A3104">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11"/>
          <w:sz w:val="32"/>
          <w:szCs w:val="32"/>
          <w:highlight w:val="none"/>
        </w:rPr>
      </w:pPr>
      <w:r>
        <w:rPr>
          <w:rFonts w:hint="eastAsia" w:ascii="Times New Roman" w:hAnsi="Times New Roman" w:eastAsia="方正仿宋简体" w:cs="方正仿宋简体"/>
          <w:color w:val="auto"/>
          <w:spacing w:val="0"/>
          <w:sz w:val="32"/>
          <w:szCs w:val="32"/>
          <w:highlight w:val="none"/>
        </w:rPr>
        <w:t>7.征收</w:t>
      </w:r>
      <w:r>
        <w:rPr>
          <w:rFonts w:hint="eastAsia" w:ascii="Times New Roman" w:hAnsi="Times New Roman" w:eastAsia="方正仿宋简体" w:cs="方正仿宋简体"/>
          <w:color w:val="auto"/>
          <w:spacing w:val="-11"/>
          <w:sz w:val="32"/>
          <w:szCs w:val="32"/>
          <w:highlight w:val="none"/>
        </w:rPr>
        <w:t>属市委、市政府定点新村建设、旧村改造项目自建的房屋；</w:t>
      </w:r>
    </w:p>
    <w:p w14:paraId="094723BF">
      <w:pPr>
        <w:pStyle w:val="5"/>
        <w:keepNext w:val="0"/>
        <w:keepLines w:val="0"/>
        <w:pageBreakBefore w:val="0"/>
        <w:widowControl w:val="0"/>
        <w:kinsoku/>
        <w:topLinePunct w:val="0"/>
        <w:bidi w:val="0"/>
        <w:spacing w:line="530" w:lineRule="exact"/>
        <w:ind w:firstLine="640" w:firstLineChars="200"/>
        <w:jc w:val="both"/>
        <w:rPr>
          <w:rFonts w:hint="eastAsia" w:ascii="Times New Roman" w:hAnsi="Times New Roman" w:eastAsia="方正仿宋简体" w:cs="方正仿宋简体"/>
          <w:color w:val="auto"/>
          <w:spacing w:val="0"/>
          <w:sz w:val="32"/>
          <w:szCs w:val="32"/>
          <w:highlight w:val="none"/>
          <w:lang w:val="en-US" w:eastAsia="zh-CN"/>
        </w:rPr>
      </w:pPr>
      <w:r>
        <w:rPr>
          <w:rFonts w:hint="eastAsia" w:ascii="Times New Roman" w:hAnsi="Times New Roman" w:eastAsia="方正仿宋简体" w:cs="方正仿宋简体"/>
          <w:color w:val="auto"/>
          <w:spacing w:val="0"/>
          <w:sz w:val="32"/>
          <w:szCs w:val="32"/>
          <w:highlight w:val="none"/>
        </w:rPr>
        <w:t>8.根据</w:t>
      </w:r>
      <w:r>
        <w:rPr>
          <w:rFonts w:hint="eastAsia" w:ascii="Times New Roman" w:hAnsi="Times New Roman" w:eastAsia="方正仿宋简体" w:cs="方正仿宋简体"/>
          <w:color w:val="auto"/>
          <w:spacing w:val="0"/>
          <w:sz w:val="32"/>
          <w:szCs w:val="32"/>
          <w:highlight w:val="none"/>
          <w:lang w:val="en-US" w:eastAsia="zh-CN"/>
        </w:rPr>
        <w:t>中共泉州市</w:t>
      </w:r>
      <w:r>
        <w:rPr>
          <w:rFonts w:hint="eastAsia" w:ascii="Times New Roman" w:hAnsi="Times New Roman" w:eastAsia="方正仿宋简体" w:cs="方正仿宋简体"/>
          <w:color w:val="auto"/>
          <w:spacing w:val="0"/>
          <w:sz w:val="32"/>
          <w:szCs w:val="32"/>
          <w:highlight w:val="none"/>
        </w:rPr>
        <w:t>委办</w:t>
      </w:r>
      <w:r>
        <w:rPr>
          <w:rFonts w:hint="eastAsia" w:ascii="Times New Roman" w:hAnsi="Times New Roman" w:eastAsia="方正仿宋简体" w:cs="方正仿宋简体"/>
          <w:color w:val="auto"/>
          <w:spacing w:val="0"/>
          <w:sz w:val="32"/>
          <w:szCs w:val="32"/>
          <w:highlight w:val="none"/>
          <w:lang w:val="en-US" w:eastAsia="zh-CN"/>
        </w:rPr>
        <w:t>公室</w:t>
      </w:r>
      <w:r>
        <w:rPr>
          <w:rFonts w:hint="eastAsia" w:ascii="Times New Roman" w:hAnsi="Times New Roman" w:eastAsia="方正仿宋简体" w:cs="方正仿宋简体"/>
          <w:color w:val="auto"/>
          <w:spacing w:val="0"/>
          <w:sz w:val="32"/>
          <w:szCs w:val="32"/>
          <w:highlight w:val="none"/>
        </w:rPr>
        <w:t>、</w:t>
      </w:r>
      <w:r>
        <w:rPr>
          <w:rFonts w:hint="eastAsia" w:ascii="Times New Roman" w:hAnsi="Times New Roman" w:eastAsia="方正仿宋简体" w:cs="方正仿宋简体"/>
          <w:color w:val="auto"/>
          <w:spacing w:val="0"/>
          <w:sz w:val="32"/>
          <w:szCs w:val="32"/>
          <w:highlight w:val="none"/>
          <w:lang w:val="en-US" w:eastAsia="zh-CN"/>
        </w:rPr>
        <w:t>泉州</w:t>
      </w:r>
      <w:r>
        <w:rPr>
          <w:rFonts w:hint="eastAsia" w:ascii="Times New Roman" w:hAnsi="Times New Roman" w:eastAsia="方正仿宋简体" w:cs="方正仿宋简体"/>
          <w:color w:val="auto"/>
          <w:spacing w:val="0"/>
          <w:sz w:val="32"/>
          <w:szCs w:val="32"/>
          <w:highlight w:val="none"/>
        </w:rPr>
        <w:t>市</w:t>
      </w:r>
      <w:r>
        <w:rPr>
          <w:rFonts w:hint="eastAsia" w:ascii="Times New Roman" w:hAnsi="Times New Roman" w:eastAsia="方正仿宋简体" w:cs="方正仿宋简体"/>
          <w:color w:val="auto"/>
          <w:spacing w:val="0"/>
          <w:sz w:val="32"/>
          <w:szCs w:val="32"/>
          <w:highlight w:val="none"/>
          <w:lang w:val="en-US" w:eastAsia="zh-CN"/>
        </w:rPr>
        <w:t>人民</w:t>
      </w:r>
      <w:r>
        <w:rPr>
          <w:rFonts w:hint="eastAsia" w:ascii="Times New Roman" w:hAnsi="Times New Roman" w:eastAsia="方正仿宋简体" w:cs="方正仿宋简体"/>
          <w:color w:val="auto"/>
          <w:spacing w:val="0"/>
          <w:sz w:val="32"/>
          <w:szCs w:val="32"/>
          <w:highlight w:val="none"/>
        </w:rPr>
        <w:t>政府</w:t>
      </w:r>
      <w:r>
        <w:rPr>
          <w:rFonts w:hint="eastAsia" w:ascii="Times New Roman" w:hAnsi="Times New Roman" w:eastAsia="方正仿宋简体" w:cs="方正仿宋简体"/>
          <w:color w:val="auto"/>
          <w:spacing w:val="0"/>
          <w:sz w:val="32"/>
          <w:szCs w:val="32"/>
          <w:highlight w:val="none"/>
          <w:lang w:val="en-US" w:eastAsia="zh-CN"/>
        </w:rPr>
        <w:t>办公室</w:t>
      </w:r>
      <w:r>
        <w:rPr>
          <w:rFonts w:hint="eastAsia" w:ascii="Times New Roman" w:hAnsi="Times New Roman" w:eastAsia="方正仿宋简体" w:cs="方正仿宋简体"/>
          <w:color w:val="auto"/>
          <w:spacing w:val="0"/>
          <w:sz w:val="32"/>
          <w:szCs w:val="32"/>
          <w:highlight w:val="none"/>
        </w:rPr>
        <w:t>《</w:t>
      </w:r>
      <w:r>
        <w:rPr>
          <w:rFonts w:hint="eastAsia" w:ascii="Times New Roman" w:hAnsi="Times New Roman" w:eastAsia="方正仿宋简体" w:cs="方正仿宋简体"/>
          <w:color w:val="auto"/>
          <w:spacing w:val="0"/>
          <w:sz w:val="32"/>
          <w:szCs w:val="32"/>
          <w:highlight w:val="none"/>
          <w:lang w:val="en-US" w:eastAsia="zh-CN"/>
        </w:rPr>
        <w:t>关于印发&lt;</w:t>
      </w:r>
      <w:r>
        <w:rPr>
          <w:rFonts w:hint="eastAsia" w:ascii="Times New Roman" w:hAnsi="Times New Roman" w:eastAsia="方正仿宋简体" w:cs="方正仿宋简体"/>
          <w:color w:val="auto"/>
          <w:spacing w:val="0"/>
          <w:sz w:val="32"/>
          <w:szCs w:val="32"/>
          <w:highlight w:val="none"/>
        </w:rPr>
        <w:t>泉州市违法占地、违法建设认定及分类处置的指导意见</w:t>
      </w:r>
      <w:r>
        <w:rPr>
          <w:rFonts w:hint="eastAsia" w:ascii="Times New Roman" w:hAnsi="Times New Roman" w:eastAsia="方正仿宋简体" w:cs="方正仿宋简体"/>
          <w:color w:val="auto"/>
          <w:spacing w:val="0"/>
          <w:sz w:val="32"/>
          <w:szCs w:val="32"/>
          <w:highlight w:val="none"/>
          <w:lang w:val="en-US" w:eastAsia="zh-CN"/>
        </w:rPr>
        <w:t>&gt;</w:t>
      </w:r>
    </w:p>
    <w:p w14:paraId="75C5410C">
      <w:pPr>
        <w:pStyle w:val="5"/>
        <w:keepNext w:val="0"/>
        <w:keepLines w:val="0"/>
        <w:pageBreakBefore w:val="0"/>
        <w:widowControl w:val="0"/>
        <w:kinsoku/>
        <w:topLinePunct w:val="0"/>
        <w:bidi w:val="0"/>
        <w:spacing w:line="530" w:lineRule="exact"/>
        <w:ind w:firstLine="0" w:firstLineChars="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lang w:val="en-US" w:eastAsia="zh-CN"/>
        </w:rPr>
        <w:t>等文件的通知</w:t>
      </w:r>
      <w:r>
        <w:rPr>
          <w:rFonts w:hint="eastAsia" w:ascii="Times New Roman" w:hAnsi="Times New Roman" w:eastAsia="方正仿宋简体" w:cs="方正仿宋简体"/>
          <w:color w:val="auto"/>
          <w:spacing w:val="0"/>
          <w:sz w:val="32"/>
          <w:szCs w:val="32"/>
          <w:highlight w:val="none"/>
        </w:rPr>
        <w:t>》（泉委办发〔2014〕16号）规定，补办基建审批手续的房屋。</w:t>
      </w:r>
    </w:p>
    <w:p w14:paraId="6EDEFD2C">
      <w:pPr>
        <w:pStyle w:val="5"/>
        <w:keepNext w:val="0"/>
        <w:keepLines w:val="0"/>
        <w:pageBreakBefore w:val="0"/>
        <w:widowControl w:val="0"/>
        <w:kinsoku/>
        <w:topLinePunct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（三）基建手续不完整的未经登记建筑的认定处理标准</w:t>
      </w:r>
    </w:p>
    <w:p w14:paraId="12B136A3">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u w:val="none"/>
        </w:rPr>
        <w:t>对于基建手续不完整的未经登记建筑，但属一户一宅对象的住宅房屋，被征收人在征收决定规定的签约期限内签订协议并按时搬迁的，</w:t>
      </w:r>
      <w:r>
        <w:rPr>
          <w:rFonts w:hint="eastAsia" w:ascii="Times New Roman" w:hAnsi="Times New Roman" w:eastAsia="方正仿宋简体" w:cs="方正仿宋简体"/>
          <w:color w:val="auto"/>
          <w:spacing w:val="0"/>
          <w:sz w:val="32"/>
          <w:szCs w:val="32"/>
          <w:highlight w:val="none"/>
        </w:rPr>
        <w:t>可本着尊重历史的原则，区分以下情况进行处理：</w:t>
      </w:r>
    </w:p>
    <w:p w14:paraId="48A9375B">
      <w:pPr>
        <w:pStyle w:val="5"/>
        <w:keepNext w:val="0"/>
        <w:keepLines w:val="0"/>
        <w:pageBreakBefore w:val="0"/>
        <w:widowControl w:val="0"/>
        <w:kinsoku/>
        <w:topLinePunct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1.1987年1月1日《中华人民共和国土地管理法》实施前，经生产队（村民小组）、大队（村委会）二级同意基建的，或已缴交土地款的住宅房屋，可按批准基建用地范围内建筑面积不超过95%给予补偿；</w:t>
      </w:r>
    </w:p>
    <w:p w14:paraId="267BB78A">
      <w:pPr>
        <w:pStyle w:val="5"/>
        <w:keepNext w:val="0"/>
        <w:keepLines w:val="0"/>
        <w:pageBreakBefore w:val="0"/>
        <w:widowControl w:val="0"/>
        <w:kinsoku/>
        <w:topLinePunct w:val="0"/>
        <w:bidi w:val="0"/>
        <w:spacing w:line="51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2.1987年1月1日《中华人民共和国土地管理法》实施后至1995年12月25日泉州市人民政府《关于泉州市城市规划区范围内实行统一规划管理的通知》（泉政〔1995〕综309号）实施前，经生产队（村民小组）、大队（村委会）、公社（乡、镇）三级同意，但未经县级以上人民政府批准使用耕地进行基建的，或只经生产队（村民小组）、大队（村委会）二级同意使用空闲杂地进行基建的房屋，可按批准基建用地范围内建筑面积不超过90%给予补偿；</w:t>
      </w:r>
    </w:p>
    <w:p w14:paraId="442CCCE2">
      <w:pPr>
        <w:pStyle w:val="5"/>
        <w:keepNext w:val="0"/>
        <w:keepLines w:val="0"/>
        <w:pageBreakBefore w:val="0"/>
        <w:widowControl w:val="0"/>
        <w:kinsoku/>
        <w:overflowPunct/>
        <w:topLinePunct w:val="0"/>
        <w:bidi w:val="0"/>
        <w:adjustRightInd/>
        <w:snapToGrid/>
        <w:spacing w:line="510" w:lineRule="exact"/>
        <w:ind w:firstLine="640" w:firstLineChars="200"/>
        <w:jc w:val="both"/>
        <w:textAlignment w:val="auto"/>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3.1995年12月25日泉州市人民政府《关于泉州市城市规划区范围内实行统一规划管理的通知》（泉政〔1995〕综309号）实施后至2004年10月1日泉州市人民政府《关于禁止非法占地、违法建设的实施意见》（泉政文〔2004〕277号）前，经大队（村委会）、乡（镇）二级同意，使用原有宅基地、村内空闲地或杂地进行基建的房屋，可按批准基建用地范围内建筑面积不超过85%给予补偿；</w:t>
      </w:r>
    </w:p>
    <w:p w14:paraId="49C36F88">
      <w:pPr>
        <w:pStyle w:val="5"/>
        <w:keepNext w:val="0"/>
        <w:keepLines w:val="0"/>
        <w:pageBreakBefore w:val="0"/>
        <w:widowControl w:val="0"/>
        <w:kinsoku/>
        <w:topLinePunct w:val="0"/>
        <w:bidi w:val="0"/>
        <w:spacing w:line="510" w:lineRule="exact"/>
        <w:ind w:firstLine="640" w:firstLineChars="200"/>
        <w:jc w:val="both"/>
        <w:rPr>
          <w:rFonts w:hint="eastAsia" w:ascii="Times New Roman" w:hAnsi="Times New Roman" w:eastAsia="方正仿宋简体" w:cs="方正仿宋简体"/>
          <w:color w:val="auto"/>
          <w:spacing w:val="0"/>
          <w:sz w:val="32"/>
          <w:szCs w:val="32"/>
          <w:highlight w:val="none"/>
          <w:lang w:val="en-US" w:eastAsia="zh-CN"/>
        </w:rPr>
      </w:pPr>
      <w:r>
        <w:rPr>
          <w:rFonts w:hint="eastAsia" w:ascii="Times New Roman" w:hAnsi="Times New Roman" w:eastAsia="方正仿宋简体" w:cs="方正仿宋简体"/>
          <w:color w:val="auto"/>
          <w:spacing w:val="0"/>
          <w:sz w:val="32"/>
          <w:szCs w:val="32"/>
          <w:highlight w:val="none"/>
        </w:rPr>
        <w:t>4.2004年10月1日泉州市人民政府《关于禁止非法占地、违法建设的实施意见》（泉政文〔2004〕277号）实施后基建的房屋，按照</w:t>
      </w:r>
      <w:r>
        <w:rPr>
          <w:rFonts w:hint="eastAsia" w:ascii="Times New Roman" w:hAnsi="Times New Roman" w:eastAsia="方正仿宋简体" w:cs="方正仿宋简体"/>
          <w:color w:val="auto"/>
          <w:spacing w:val="0"/>
          <w:sz w:val="32"/>
          <w:szCs w:val="32"/>
          <w:highlight w:val="none"/>
          <w:lang w:val="en-US" w:eastAsia="zh-CN"/>
        </w:rPr>
        <w:t>中共泉州市</w:t>
      </w:r>
      <w:r>
        <w:rPr>
          <w:rFonts w:hint="eastAsia" w:ascii="Times New Roman" w:hAnsi="Times New Roman" w:eastAsia="方正仿宋简体" w:cs="方正仿宋简体"/>
          <w:color w:val="auto"/>
          <w:spacing w:val="0"/>
          <w:sz w:val="32"/>
          <w:szCs w:val="32"/>
          <w:highlight w:val="none"/>
        </w:rPr>
        <w:t>委办</w:t>
      </w:r>
      <w:r>
        <w:rPr>
          <w:rFonts w:hint="eastAsia" w:ascii="Times New Roman" w:hAnsi="Times New Roman" w:eastAsia="方正仿宋简体" w:cs="方正仿宋简体"/>
          <w:color w:val="auto"/>
          <w:spacing w:val="0"/>
          <w:sz w:val="32"/>
          <w:szCs w:val="32"/>
          <w:highlight w:val="none"/>
          <w:lang w:val="en-US" w:eastAsia="zh-CN"/>
        </w:rPr>
        <w:t>公室</w:t>
      </w:r>
      <w:r>
        <w:rPr>
          <w:rFonts w:hint="eastAsia" w:ascii="Times New Roman" w:hAnsi="Times New Roman" w:eastAsia="方正仿宋简体" w:cs="方正仿宋简体"/>
          <w:color w:val="auto"/>
          <w:spacing w:val="0"/>
          <w:sz w:val="32"/>
          <w:szCs w:val="32"/>
          <w:highlight w:val="none"/>
        </w:rPr>
        <w:t>、</w:t>
      </w:r>
      <w:r>
        <w:rPr>
          <w:rFonts w:hint="eastAsia" w:ascii="Times New Roman" w:hAnsi="Times New Roman" w:eastAsia="方正仿宋简体" w:cs="方正仿宋简体"/>
          <w:color w:val="auto"/>
          <w:spacing w:val="0"/>
          <w:sz w:val="32"/>
          <w:szCs w:val="32"/>
          <w:highlight w:val="none"/>
          <w:lang w:val="en-US" w:eastAsia="zh-CN"/>
        </w:rPr>
        <w:t>泉州</w:t>
      </w:r>
      <w:r>
        <w:rPr>
          <w:rFonts w:hint="eastAsia" w:ascii="Times New Roman" w:hAnsi="Times New Roman" w:eastAsia="方正仿宋简体" w:cs="方正仿宋简体"/>
          <w:color w:val="auto"/>
          <w:spacing w:val="0"/>
          <w:sz w:val="32"/>
          <w:szCs w:val="32"/>
          <w:highlight w:val="none"/>
        </w:rPr>
        <w:t>市</w:t>
      </w:r>
      <w:r>
        <w:rPr>
          <w:rFonts w:hint="eastAsia" w:ascii="Times New Roman" w:hAnsi="Times New Roman" w:eastAsia="方正仿宋简体" w:cs="方正仿宋简体"/>
          <w:color w:val="auto"/>
          <w:spacing w:val="0"/>
          <w:sz w:val="32"/>
          <w:szCs w:val="32"/>
          <w:highlight w:val="none"/>
          <w:lang w:val="en-US" w:eastAsia="zh-CN"/>
        </w:rPr>
        <w:t>人民</w:t>
      </w:r>
      <w:r>
        <w:rPr>
          <w:rFonts w:hint="eastAsia" w:ascii="Times New Roman" w:hAnsi="Times New Roman" w:eastAsia="方正仿宋简体" w:cs="方正仿宋简体"/>
          <w:color w:val="auto"/>
          <w:spacing w:val="0"/>
          <w:sz w:val="32"/>
          <w:szCs w:val="32"/>
          <w:highlight w:val="none"/>
        </w:rPr>
        <w:t>政府</w:t>
      </w:r>
      <w:r>
        <w:rPr>
          <w:rFonts w:hint="eastAsia" w:ascii="Times New Roman" w:hAnsi="Times New Roman" w:eastAsia="方正仿宋简体" w:cs="方正仿宋简体"/>
          <w:color w:val="auto"/>
          <w:spacing w:val="0"/>
          <w:sz w:val="32"/>
          <w:szCs w:val="32"/>
          <w:highlight w:val="none"/>
          <w:lang w:val="en-US" w:eastAsia="zh-CN"/>
        </w:rPr>
        <w:t>办公室</w:t>
      </w:r>
      <w:r>
        <w:rPr>
          <w:rFonts w:hint="eastAsia" w:ascii="Times New Roman" w:hAnsi="Times New Roman" w:eastAsia="方正仿宋简体" w:cs="方正仿宋简体"/>
          <w:color w:val="auto"/>
          <w:spacing w:val="0"/>
          <w:sz w:val="32"/>
          <w:szCs w:val="32"/>
          <w:highlight w:val="none"/>
        </w:rPr>
        <w:t>《</w:t>
      </w:r>
      <w:r>
        <w:rPr>
          <w:rFonts w:hint="eastAsia" w:ascii="Times New Roman" w:hAnsi="Times New Roman" w:eastAsia="方正仿宋简体" w:cs="方正仿宋简体"/>
          <w:color w:val="auto"/>
          <w:spacing w:val="0"/>
          <w:sz w:val="32"/>
          <w:szCs w:val="32"/>
          <w:highlight w:val="none"/>
          <w:lang w:val="en-US" w:eastAsia="zh-CN"/>
        </w:rPr>
        <w:t>关于印发&lt;</w:t>
      </w:r>
      <w:r>
        <w:rPr>
          <w:rFonts w:hint="eastAsia" w:ascii="Times New Roman" w:hAnsi="Times New Roman" w:eastAsia="方正仿宋简体" w:cs="方正仿宋简体"/>
          <w:color w:val="auto"/>
          <w:spacing w:val="0"/>
          <w:sz w:val="32"/>
          <w:szCs w:val="32"/>
          <w:highlight w:val="none"/>
        </w:rPr>
        <w:t>泉州市违法占地、违法建设认定及分类处置的指导意见</w:t>
      </w:r>
      <w:r>
        <w:rPr>
          <w:rFonts w:hint="eastAsia" w:ascii="Times New Roman" w:hAnsi="Times New Roman" w:eastAsia="方正仿宋简体" w:cs="方正仿宋简体"/>
          <w:color w:val="auto"/>
          <w:spacing w:val="0"/>
          <w:sz w:val="32"/>
          <w:szCs w:val="32"/>
          <w:highlight w:val="none"/>
          <w:lang w:val="en-US" w:eastAsia="zh-CN"/>
        </w:rPr>
        <w:t>&gt;</w:t>
      </w:r>
    </w:p>
    <w:p w14:paraId="69A83E10">
      <w:pPr>
        <w:pStyle w:val="5"/>
        <w:keepNext w:val="0"/>
        <w:keepLines w:val="0"/>
        <w:pageBreakBefore w:val="0"/>
        <w:widowControl w:val="0"/>
        <w:kinsoku/>
        <w:overflowPunct/>
        <w:topLinePunct w:val="0"/>
        <w:bidi w:val="0"/>
        <w:adjustRightInd/>
        <w:snapToGrid/>
        <w:spacing w:line="510" w:lineRule="exact"/>
        <w:ind w:firstLine="0" w:firstLineChars="0"/>
        <w:jc w:val="both"/>
        <w:textAlignment w:val="auto"/>
        <w:rPr>
          <w:rFonts w:hint="eastAsia" w:ascii="Times New Roman" w:hAnsi="Times New Roman" w:eastAsia="方正仿宋简体" w:cs="方正仿宋简体"/>
          <w:color w:val="auto"/>
          <w:spacing w:val="0"/>
          <w:sz w:val="32"/>
          <w:szCs w:val="32"/>
          <w:highlight w:val="none"/>
          <w:lang w:eastAsia="zh-CN"/>
        </w:rPr>
      </w:pPr>
      <w:r>
        <w:rPr>
          <w:rFonts w:hint="eastAsia" w:ascii="Times New Roman" w:hAnsi="Times New Roman" w:eastAsia="方正仿宋简体" w:cs="方正仿宋简体"/>
          <w:color w:val="auto"/>
          <w:spacing w:val="0"/>
          <w:sz w:val="32"/>
          <w:szCs w:val="32"/>
          <w:highlight w:val="none"/>
          <w:lang w:val="en-US" w:eastAsia="zh-CN"/>
        </w:rPr>
        <w:t>等文件的通知</w:t>
      </w:r>
      <w:r>
        <w:rPr>
          <w:rFonts w:hint="eastAsia" w:ascii="Times New Roman" w:hAnsi="Times New Roman" w:eastAsia="方正仿宋简体" w:cs="方正仿宋简体"/>
          <w:color w:val="auto"/>
          <w:spacing w:val="0"/>
          <w:sz w:val="32"/>
          <w:szCs w:val="32"/>
          <w:highlight w:val="none"/>
        </w:rPr>
        <w:t>》（泉委办发〔2014〕16号）进行处置。其中，对2004年10月1日至2008年航拍图（数字化地图）前基建的房屋，可给予一定的建筑材料费补贴</w:t>
      </w:r>
      <w:r>
        <w:rPr>
          <w:rFonts w:hint="eastAsia" w:ascii="Times New Roman" w:hAnsi="Times New Roman" w:eastAsia="方正仿宋简体" w:cs="方正仿宋简体"/>
          <w:color w:val="auto"/>
          <w:spacing w:val="0"/>
          <w:sz w:val="32"/>
          <w:szCs w:val="32"/>
          <w:highlight w:val="none"/>
          <w:lang w:eastAsia="zh-CN"/>
        </w:rPr>
        <w:t>。</w:t>
      </w:r>
    </w:p>
    <w:p w14:paraId="1BC641B9">
      <w:pPr>
        <w:pStyle w:val="5"/>
        <w:keepNext w:val="0"/>
        <w:keepLines w:val="0"/>
        <w:pageBreakBefore w:val="0"/>
        <w:widowControl w:val="0"/>
        <w:kinsoku/>
        <w:overflowPunct/>
        <w:topLinePunct w:val="0"/>
        <w:bidi w:val="0"/>
        <w:adjustRightInd/>
        <w:snapToGrid/>
        <w:spacing w:line="510" w:lineRule="exact"/>
        <w:ind w:firstLine="643" w:firstLineChars="200"/>
        <w:jc w:val="both"/>
        <w:textAlignment w:val="auto"/>
        <w:rPr>
          <w:rFonts w:hint="eastAsia" w:ascii="Times New Roman" w:hAnsi="Times New Roman" w:eastAsia="方正仿宋简体" w:cs="方正仿宋简体"/>
          <w:b/>
          <w:bCs/>
          <w:color w:val="auto"/>
          <w:spacing w:val="0"/>
          <w:sz w:val="32"/>
          <w:szCs w:val="32"/>
          <w:highlight w:val="none"/>
          <w:lang w:eastAsia="zh-CN"/>
        </w:rPr>
      </w:pPr>
      <w:r>
        <w:rPr>
          <w:rFonts w:hint="eastAsia" w:ascii="Times New Roman" w:hAnsi="Times New Roman" w:eastAsia="方正仿宋简体" w:cs="方正仿宋简体"/>
          <w:b/>
          <w:bCs/>
          <w:color w:val="auto"/>
          <w:spacing w:val="0"/>
          <w:sz w:val="32"/>
          <w:szCs w:val="32"/>
          <w:highlight w:val="none"/>
        </w:rPr>
        <w:t>（四）其</w:t>
      </w:r>
      <w:r>
        <w:rPr>
          <w:rFonts w:hint="eastAsia" w:ascii="Times New Roman" w:hAnsi="Times New Roman" w:eastAsia="方正仿宋简体" w:cs="方正仿宋简体"/>
          <w:b/>
          <w:bCs/>
          <w:color w:val="auto"/>
          <w:spacing w:val="0"/>
          <w:sz w:val="32"/>
          <w:szCs w:val="32"/>
          <w:highlight w:val="none"/>
          <w:lang w:eastAsia="zh-CN"/>
        </w:rPr>
        <w:t>他</w:t>
      </w:r>
    </w:p>
    <w:p w14:paraId="11C13A6C">
      <w:pPr>
        <w:pStyle w:val="5"/>
        <w:keepNext w:val="0"/>
        <w:keepLines w:val="0"/>
        <w:pageBreakBefore w:val="0"/>
        <w:widowControl w:val="0"/>
        <w:kinsoku/>
        <w:overflowPunct/>
        <w:topLinePunct w:val="0"/>
        <w:bidi w:val="0"/>
        <w:adjustRightInd/>
        <w:snapToGrid/>
        <w:spacing w:line="510" w:lineRule="exact"/>
        <w:ind w:firstLine="640" w:firstLineChars="200"/>
        <w:jc w:val="both"/>
        <w:textAlignment w:val="auto"/>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1.未经批准改扩建或基建手续不完整的未经登记建筑的认定处理以三层（含三层）为限，三层以上部分一律不认定为可补偿面积，按期签订协议并搬迁的，根据违法的不同年份、不同情况给予材料费补偿；</w:t>
      </w:r>
    </w:p>
    <w:p w14:paraId="5F5C7C9E">
      <w:pPr>
        <w:pStyle w:val="5"/>
        <w:keepNext w:val="0"/>
        <w:keepLines w:val="0"/>
        <w:pageBreakBefore w:val="0"/>
        <w:widowControl w:val="0"/>
        <w:kinsoku/>
        <w:wordWrap w:val="0"/>
        <w:overflowPunct/>
        <w:topLinePunct w:val="0"/>
        <w:autoSpaceDE w:val="0"/>
        <w:autoSpaceDN w:val="0"/>
        <w:bidi w:val="0"/>
        <w:adjustRightInd/>
        <w:snapToGrid/>
        <w:spacing w:line="530" w:lineRule="exact"/>
        <w:ind w:firstLine="640" w:firstLineChars="200"/>
        <w:jc w:val="both"/>
        <w:textAlignment w:val="auto"/>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2.未登记建筑的认定，应严格以市规划部门地形图、航拍图、数字化地图为依据。四层（含四层以上）被征收房屋的认定必须在未经登记建筑处理意见表上载明地形图及2003年和2008年航拍图数字化地图记载情况。</w:t>
      </w:r>
    </w:p>
    <w:p w14:paraId="4256860A">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第九条 “住改非”房屋的认定和处理办法</w:t>
      </w:r>
    </w:p>
    <w:p w14:paraId="4380A0EC">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Style w:val="30"/>
          <w:rFonts w:ascii="Times New Roman" w:hAnsi="Times New Roman" w:eastAsia="方正仿宋简体" w:cs="方正仿宋简体"/>
          <w:b/>
          <w:bCs/>
          <w:color w:val="auto"/>
          <w:spacing w:val="0"/>
          <w:sz w:val="32"/>
          <w:szCs w:val="32"/>
          <w:highlight w:val="none"/>
        </w:rPr>
      </w:pPr>
      <w:r>
        <w:rPr>
          <w:rStyle w:val="30"/>
          <w:rFonts w:hint="eastAsia" w:ascii="Times New Roman" w:hAnsi="Times New Roman" w:eastAsia="方正仿宋简体" w:cs="方正仿宋简体"/>
          <w:b/>
          <w:bCs/>
          <w:color w:val="auto"/>
          <w:spacing w:val="0"/>
          <w:sz w:val="32"/>
          <w:szCs w:val="32"/>
          <w:highlight w:val="none"/>
        </w:rPr>
        <w:t>（一）认定条件</w:t>
      </w:r>
    </w:p>
    <w:p w14:paraId="36060112">
      <w:pPr>
        <w:pStyle w:val="5"/>
        <w:keepNext w:val="0"/>
        <w:keepLines w:val="0"/>
        <w:pageBreakBefore w:val="0"/>
        <w:widowControl w:val="0"/>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Style w:val="30"/>
          <w:rFonts w:hint="eastAsia" w:ascii="Times New Roman" w:hAnsi="Times New Roman" w:eastAsia="方正仿宋简体" w:cs="方正仿宋简体"/>
          <w:color w:val="auto"/>
          <w:spacing w:val="0"/>
          <w:sz w:val="32"/>
          <w:szCs w:val="32"/>
          <w:highlight w:val="none"/>
        </w:rPr>
        <w:t>未经城市规划部门批准或房屋所有权证未记载为店面的，</w:t>
      </w:r>
      <w:r>
        <w:rPr>
          <w:rFonts w:hint="eastAsia" w:ascii="Times New Roman" w:hAnsi="Times New Roman" w:eastAsia="方正仿宋简体" w:cs="方正仿宋简体"/>
          <w:color w:val="auto"/>
          <w:spacing w:val="0"/>
          <w:sz w:val="32"/>
          <w:szCs w:val="32"/>
          <w:highlight w:val="none"/>
        </w:rPr>
        <w:t>私自将位于城市主次干道或主要支路临街底层住宅改为经营性用房的，持有有效的工商营业执照且征收时仍在经营，可认定为“住改非”房屋。</w:t>
      </w:r>
    </w:p>
    <w:p w14:paraId="1CF388DB">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（二）处理办法</w:t>
      </w:r>
    </w:p>
    <w:p w14:paraId="207F57D2">
      <w:pPr>
        <w:pStyle w:val="5"/>
        <w:keepNext w:val="0"/>
        <w:keepLines w:val="0"/>
        <w:pageBreakBefore w:val="0"/>
        <w:widowControl w:val="0"/>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“住改非”房屋进深以原建筑结构临街或临主要道路第一层第一自然间计算，最多不得超过8米，一律按住宅给予征收补偿。</w:t>
      </w:r>
    </w:p>
    <w:p w14:paraId="34DEE5D4">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（三）一次性终止经营补贴</w:t>
      </w:r>
    </w:p>
    <w:p w14:paraId="0DC8B030">
      <w:pPr>
        <w:pStyle w:val="5"/>
        <w:keepNext w:val="0"/>
        <w:keepLines w:val="0"/>
        <w:pageBreakBefore w:val="0"/>
        <w:widowControl w:val="0"/>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u w:val="none"/>
        </w:rPr>
        <w:t>被征收人对本方案中所列价格无异议，在征收决定规定的签约期限内签订协议并按时搬迁的，对沿</w:t>
      </w:r>
      <w:r>
        <w:rPr>
          <w:rFonts w:hint="eastAsia" w:ascii="Times New Roman" w:hAnsi="Times New Roman" w:eastAsia="方正仿宋简体" w:cs="方正仿宋简体"/>
          <w:color w:val="auto"/>
          <w:spacing w:val="0"/>
          <w:sz w:val="32"/>
          <w:szCs w:val="32"/>
          <w:highlight w:val="none"/>
          <w:u w:val="none"/>
          <w:lang w:val="en-US" w:eastAsia="zh-CN"/>
        </w:rPr>
        <w:t>华锦路</w:t>
      </w:r>
      <w:r>
        <w:rPr>
          <w:rFonts w:hint="eastAsia" w:ascii="Times New Roman" w:hAnsi="Times New Roman" w:eastAsia="方正仿宋简体" w:cs="方正仿宋简体"/>
          <w:color w:val="auto"/>
          <w:spacing w:val="0"/>
          <w:sz w:val="32"/>
          <w:szCs w:val="32"/>
          <w:highlight w:val="none"/>
          <w:u w:val="none"/>
        </w:rPr>
        <w:t>原房屋建筑结构临街底层第一自然间的“住改非”房屋给予1500元/㎡的一次性终止经营补贴；对位</w:t>
      </w:r>
      <w:r>
        <w:rPr>
          <w:rFonts w:hint="eastAsia" w:ascii="Times New Roman" w:hAnsi="Times New Roman" w:eastAsia="方正仿宋简体" w:cs="方正仿宋简体"/>
          <w:color w:val="auto"/>
          <w:spacing w:val="0"/>
          <w:sz w:val="32"/>
          <w:szCs w:val="32"/>
          <w:highlight w:val="none"/>
        </w:rPr>
        <w:t>于其他道路的原房屋建筑结构临街底层第一自然间的“住改非”房屋给予1000元/㎡的一次性终止经营补贴。</w:t>
      </w:r>
    </w:p>
    <w:p w14:paraId="1CE3FA58">
      <w:pPr>
        <w:pStyle w:val="5"/>
        <w:keepNext w:val="0"/>
        <w:keepLines w:val="0"/>
        <w:pageBreakBefore w:val="0"/>
        <w:widowControl w:val="0"/>
        <w:numPr>
          <w:ilvl w:val="0"/>
          <w:numId w:val="0"/>
        </w:numPr>
        <w:kinsoku/>
        <w:wordWrap w:val="0"/>
        <w:overflowPunct/>
        <w:topLinePunct w:val="0"/>
        <w:autoSpaceDE w:val="0"/>
        <w:autoSpaceDN w:val="0"/>
        <w:bidi w:val="0"/>
        <w:adjustRightInd/>
        <w:snapToGrid/>
        <w:spacing w:before="313" w:beforeLines="100" w:after="313" w:afterLines="100" w:line="530" w:lineRule="exact"/>
        <w:jc w:val="center"/>
        <w:textAlignment w:val="auto"/>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kern w:val="0"/>
          <w:sz w:val="32"/>
          <w:szCs w:val="32"/>
          <w:highlight w:val="none"/>
          <w:lang w:val="en-US" w:eastAsia="zh-CN" w:bidi="ar-SA"/>
        </w:rPr>
        <w:t xml:space="preserve">第三部分  </w:t>
      </w:r>
      <w:r>
        <w:rPr>
          <w:rFonts w:hint="eastAsia" w:ascii="Times New Roman" w:hAnsi="Times New Roman" w:eastAsia="黑体" w:cs="黑体"/>
          <w:color w:val="auto"/>
          <w:spacing w:val="0"/>
          <w:sz w:val="32"/>
          <w:szCs w:val="32"/>
          <w:highlight w:val="none"/>
        </w:rPr>
        <w:t>住宅补偿安置办法</w:t>
      </w:r>
    </w:p>
    <w:p w14:paraId="0356E5CC">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第十条 基本原则</w:t>
      </w:r>
    </w:p>
    <w:p w14:paraId="0BA52DF7">
      <w:pPr>
        <w:pStyle w:val="5"/>
        <w:keepNext w:val="0"/>
        <w:keepLines w:val="0"/>
        <w:pageBreakBefore w:val="0"/>
        <w:widowControl w:val="0"/>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（一）本方案货币补偿方式仅指房屋征收部门以向被征收人支付货币的形式完成补偿。</w:t>
      </w:r>
    </w:p>
    <w:p w14:paraId="570CB7A1">
      <w:pPr>
        <w:pStyle w:val="5"/>
        <w:keepNext w:val="0"/>
        <w:keepLines w:val="0"/>
        <w:pageBreakBefore w:val="0"/>
        <w:widowControl w:val="0"/>
        <w:tabs>
          <w:tab w:val="left" w:pos="560"/>
        </w:tabs>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w:t>
      </w:r>
      <w:r>
        <w:rPr>
          <w:rFonts w:hint="eastAsia" w:ascii="Times New Roman" w:hAnsi="Times New Roman" w:eastAsia="方正仿宋简体" w:cs="方正仿宋简体"/>
          <w:color w:val="auto"/>
          <w:spacing w:val="0"/>
          <w:sz w:val="32"/>
          <w:szCs w:val="32"/>
          <w:highlight w:val="none"/>
          <w:lang w:val="en-US" w:eastAsia="zh-CN"/>
        </w:rPr>
        <w:t>被征收人选择产权调换的，产权调换面积</w:t>
      </w:r>
      <w:r>
        <w:rPr>
          <w:rFonts w:hint="eastAsia" w:ascii="Times New Roman" w:hAnsi="Times New Roman" w:eastAsia="方正仿宋简体" w:cs="方正仿宋简体"/>
          <w:color w:val="auto"/>
          <w:spacing w:val="0"/>
          <w:sz w:val="32"/>
          <w:szCs w:val="32"/>
          <w:highlight w:val="none"/>
        </w:rPr>
        <w:t>按经认定的被征收住宅房屋价值补偿和装修补偿总价计算。</w:t>
      </w:r>
    </w:p>
    <w:p w14:paraId="4FDC6E85">
      <w:pPr>
        <w:pStyle w:val="5"/>
        <w:keepNext w:val="0"/>
        <w:keepLines w:val="0"/>
        <w:pageBreakBefore w:val="0"/>
        <w:widowControl w:val="0"/>
        <w:tabs>
          <w:tab w:val="left" w:pos="560"/>
        </w:tabs>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1.持有合法产权手续的房屋，可以按其证载面积确定</w:t>
      </w:r>
      <w:r>
        <w:rPr>
          <w:rFonts w:hint="eastAsia" w:ascii="Times New Roman" w:hAnsi="Times New Roman" w:eastAsia="方正仿宋简体" w:cs="方正仿宋简体"/>
          <w:color w:val="auto"/>
          <w:spacing w:val="0"/>
          <w:sz w:val="32"/>
          <w:szCs w:val="32"/>
          <w:highlight w:val="none"/>
          <w:lang w:val="en-US" w:eastAsia="zh-CN"/>
        </w:rPr>
        <w:t>产权调换</w:t>
      </w:r>
      <w:r>
        <w:rPr>
          <w:rFonts w:hint="eastAsia" w:ascii="Times New Roman" w:hAnsi="Times New Roman" w:eastAsia="方正仿宋简体" w:cs="方正仿宋简体"/>
          <w:color w:val="auto"/>
          <w:spacing w:val="0"/>
          <w:sz w:val="32"/>
          <w:szCs w:val="32"/>
          <w:highlight w:val="none"/>
        </w:rPr>
        <w:t>面积；</w:t>
      </w:r>
    </w:p>
    <w:p w14:paraId="565E5F95">
      <w:pPr>
        <w:pStyle w:val="5"/>
        <w:keepNext w:val="0"/>
        <w:keepLines w:val="0"/>
        <w:pageBreakBefore w:val="0"/>
        <w:widowControl w:val="0"/>
        <w:tabs>
          <w:tab w:val="left" w:pos="560"/>
        </w:tabs>
        <w:kinsoku/>
        <w:wordWrap w:val="0"/>
        <w:topLinePunct w:val="0"/>
        <w:autoSpaceDE w:val="0"/>
        <w:autoSpaceDN w:val="0"/>
        <w:bidi w:val="0"/>
        <w:spacing w:line="530" w:lineRule="exact"/>
        <w:ind w:firstLine="640" w:firstLineChars="200"/>
        <w:jc w:val="both"/>
        <w:rPr>
          <w:rFonts w:hint="eastAsia"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i w:val="0"/>
          <w:iCs w:val="0"/>
          <w:caps w:val="0"/>
          <w:color w:val="auto"/>
          <w:spacing w:val="0"/>
          <w:sz w:val="32"/>
          <w:szCs w:val="32"/>
          <w:highlight w:val="none"/>
          <w:shd w:val="clear" w:fill="FFFFFF"/>
        </w:rPr>
        <w:t>2.</w:t>
      </w:r>
      <w:r>
        <w:rPr>
          <w:rFonts w:hint="eastAsia" w:ascii="Times New Roman" w:hAnsi="Times New Roman" w:eastAsia="方正仿宋简体" w:cs="方正仿宋简体"/>
          <w:color w:val="auto"/>
          <w:spacing w:val="0"/>
          <w:sz w:val="32"/>
          <w:szCs w:val="32"/>
          <w:highlight w:val="none"/>
        </w:rPr>
        <w:t>未持有合法产权手续的房屋，根据《中华人民共和国土地管理法》《中华人民共和国城乡规划法》等法律法规有关规定，严格按“一户一宅”控制</w:t>
      </w:r>
      <w:r>
        <w:rPr>
          <w:rFonts w:hint="eastAsia" w:ascii="Times New Roman" w:hAnsi="Times New Roman" w:eastAsia="方正仿宋简体" w:cs="方正仿宋简体"/>
          <w:color w:val="auto"/>
          <w:spacing w:val="0"/>
          <w:sz w:val="32"/>
          <w:szCs w:val="32"/>
          <w:highlight w:val="none"/>
          <w:lang w:val="en-US" w:eastAsia="zh-CN"/>
        </w:rPr>
        <w:t>产权调换</w:t>
      </w:r>
      <w:r>
        <w:rPr>
          <w:rFonts w:hint="eastAsia" w:ascii="Times New Roman" w:hAnsi="Times New Roman" w:eastAsia="方正仿宋简体" w:cs="方正仿宋简体"/>
          <w:color w:val="auto"/>
          <w:spacing w:val="0"/>
          <w:sz w:val="32"/>
          <w:szCs w:val="32"/>
          <w:highlight w:val="none"/>
        </w:rPr>
        <w:t>可购换面积，最高不超过360㎡（含360㎡），其余被征收房屋认定可补偿面积一律实行货币补偿。</w:t>
      </w:r>
    </w:p>
    <w:p w14:paraId="221AB773">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第十一条 货币补偿办法</w:t>
      </w:r>
    </w:p>
    <w:p w14:paraId="676BB508">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（一）补偿标准</w:t>
      </w:r>
    </w:p>
    <w:p w14:paraId="75E47CAB">
      <w:pPr>
        <w:pStyle w:val="5"/>
        <w:keepNext w:val="0"/>
        <w:keepLines w:val="0"/>
        <w:pageBreakBefore w:val="0"/>
        <w:widowControl w:val="0"/>
        <w:kinsoku/>
        <w:wordWrap w:val="0"/>
        <w:topLinePunct w:val="0"/>
        <w:autoSpaceDE w:val="0"/>
        <w:autoSpaceDN w:val="0"/>
        <w:bidi w:val="0"/>
        <w:spacing w:line="530" w:lineRule="exact"/>
        <w:ind w:firstLine="640" w:firstLineChars="200"/>
        <w:jc w:val="both"/>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被征收人选择本方案所列参考价进行货币补偿的，根据房屋结构、用地性质、装修档次、总层数的不同情况按附表一、附表二所列标准补偿。</w:t>
      </w:r>
    </w:p>
    <w:p w14:paraId="4E131CB8">
      <w:pPr>
        <w:pStyle w:val="5"/>
        <w:keepNext w:val="0"/>
        <w:keepLines w:val="0"/>
        <w:pageBreakBefore w:val="0"/>
        <w:widowControl w:val="0"/>
        <w:kinsoku/>
        <w:wordWrap w:val="0"/>
        <w:topLinePunct w:val="0"/>
        <w:autoSpaceDE w:val="0"/>
        <w:autoSpaceDN w:val="0"/>
        <w:bidi w:val="0"/>
        <w:spacing w:line="53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（二）奖励办法</w:t>
      </w:r>
    </w:p>
    <w:p w14:paraId="6B92FA3B">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对在签约期限内选择货币补偿方式、签订协议并按时搬迁的被征收人，给予被征收住宅房屋价值补偿和装修补偿总价20%的货币补偿方式奖励。</w:t>
      </w:r>
    </w:p>
    <w:p w14:paraId="1CC3DB8B">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（三）结算办法</w:t>
      </w:r>
    </w:p>
    <w:p w14:paraId="5D59403A">
      <w:pPr>
        <w:pStyle w:val="5"/>
        <w:keepNext w:val="0"/>
        <w:keepLines w:val="0"/>
        <w:pageBreakBefore w:val="0"/>
        <w:widowControl w:val="0"/>
        <w:kinsoku/>
        <w:wordWrap w:val="0"/>
        <w:overflowPunct w:val="0"/>
        <w:topLinePunct w:val="0"/>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被征收房屋货币补偿总额包括被征收房屋价值补偿（含土地补偿、房屋建安费用补偿）、装修补偿、搬迁费、临时安置费及相关奖励等，自被征收人签约并按时搬迁后一次性发放。</w:t>
      </w:r>
      <w:r>
        <w:rPr>
          <w:rFonts w:hint="eastAsia" w:ascii="Times New Roman" w:hAnsi="Times New Roman" w:eastAsia="方正仿宋简体" w:cs="方正仿宋简体"/>
          <w:b/>
          <w:bCs/>
          <w:color w:val="auto"/>
          <w:spacing w:val="0"/>
          <w:sz w:val="32"/>
          <w:szCs w:val="32"/>
          <w:highlight w:val="none"/>
        </w:rPr>
        <w:tab/>
      </w:r>
    </w:p>
    <w:p w14:paraId="03941A0E">
      <w:pPr>
        <w:keepNext w:val="0"/>
        <w:keepLines w:val="0"/>
        <w:pageBreakBefore w:val="0"/>
        <w:widowControl w:val="0"/>
        <w:tabs>
          <w:tab w:val="left" w:pos="510"/>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二</w:t>
      </w:r>
      <w:r>
        <w:rPr>
          <w:rFonts w:hint="eastAsia" w:ascii="Times New Roman" w:hAnsi="Times New Roman" w:eastAsia="方正仿宋简体" w:cs="方正仿宋简体"/>
          <w:b/>
          <w:bCs/>
          <w:color w:val="auto"/>
          <w:spacing w:val="0"/>
          <w:sz w:val="32"/>
          <w:szCs w:val="32"/>
          <w:highlight w:val="none"/>
        </w:rPr>
        <w:t>条 产权调换办法</w:t>
      </w:r>
    </w:p>
    <w:p w14:paraId="1D6E2F9E">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（一）置换办法</w:t>
      </w:r>
    </w:p>
    <w:p w14:paraId="11AEA5DF">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lang w:val="en-US" w:eastAsia="zh-CN"/>
        </w:rPr>
        <w:t>1.</w:t>
      </w:r>
      <w:r>
        <w:rPr>
          <w:rFonts w:hint="eastAsia" w:ascii="Times New Roman" w:hAnsi="Times New Roman" w:eastAsia="方正仿宋简体" w:cs="方正仿宋简体"/>
          <w:color w:val="auto"/>
          <w:spacing w:val="0"/>
          <w:sz w:val="32"/>
          <w:szCs w:val="32"/>
          <w:highlight w:val="none"/>
        </w:rPr>
        <w:t>实行“等价置换，差价互补”，即以被征收房屋评估基准价值和用于产权调换的</w:t>
      </w:r>
      <w:r>
        <w:rPr>
          <w:rFonts w:hint="eastAsia" w:ascii="Times New Roman" w:hAnsi="Times New Roman" w:eastAsia="方正仿宋简体" w:cs="方正仿宋简体"/>
          <w:color w:val="auto"/>
          <w:spacing w:val="0"/>
          <w:sz w:val="32"/>
          <w:szCs w:val="32"/>
          <w:highlight w:val="none"/>
          <w:lang w:val="en-US" w:eastAsia="zh-CN"/>
        </w:rPr>
        <w:t>安置房房源的</w:t>
      </w:r>
      <w:r>
        <w:rPr>
          <w:rFonts w:hint="eastAsia" w:ascii="Times New Roman" w:hAnsi="Times New Roman" w:eastAsia="方正仿宋简体" w:cs="方正仿宋简体"/>
          <w:color w:val="auto"/>
          <w:spacing w:val="0"/>
          <w:sz w:val="32"/>
          <w:szCs w:val="32"/>
          <w:highlight w:val="none"/>
        </w:rPr>
        <w:t>评估基准价值实行置换，并结算差价。</w:t>
      </w:r>
    </w:p>
    <w:p w14:paraId="00CCE47E">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i w:val="0"/>
          <w:iCs w:val="0"/>
          <w:caps w:val="0"/>
          <w:color w:val="auto"/>
          <w:spacing w:val="0"/>
          <w:sz w:val="32"/>
          <w:szCs w:val="32"/>
          <w:highlight w:val="none"/>
          <w:shd w:val="clear" w:fill="FFFFFF"/>
        </w:rPr>
        <w:t>2</w:t>
      </w:r>
      <w:r>
        <w:rPr>
          <w:rFonts w:hint="eastAsia" w:ascii="Times New Roman" w:hAnsi="Times New Roman" w:eastAsia="方正仿宋简体" w:cs="方正仿宋简体"/>
          <w:i w:val="0"/>
          <w:iCs w:val="0"/>
          <w:caps w:val="0"/>
          <w:color w:val="auto"/>
          <w:spacing w:val="0"/>
          <w:sz w:val="32"/>
          <w:szCs w:val="32"/>
          <w:highlight w:val="none"/>
          <w:shd w:val="clear" w:fill="FFFFFF"/>
          <w:lang w:eastAsia="zh-CN"/>
        </w:rPr>
        <w:t>.</w:t>
      </w:r>
      <w:r>
        <w:rPr>
          <w:rFonts w:hint="eastAsia" w:ascii="Times New Roman" w:hAnsi="Times New Roman" w:eastAsia="方正仿宋简体" w:cs="方正仿宋简体"/>
          <w:i w:val="0"/>
          <w:iCs w:val="0"/>
          <w:caps w:val="0"/>
          <w:color w:val="auto"/>
          <w:spacing w:val="0"/>
          <w:sz w:val="32"/>
          <w:szCs w:val="32"/>
          <w:highlight w:val="none"/>
          <w:shd w:val="clear" w:fill="FFFFFF"/>
        </w:rPr>
        <w:t>被征收房屋评估基准价值根据房屋结构、装修档次和总层数不同情况按附表一、附表二所列标准确定。</w:t>
      </w:r>
    </w:p>
    <w:p w14:paraId="5167314D">
      <w:pPr>
        <w:keepNext w:val="0"/>
        <w:keepLines w:val="0"/>
        <w:pageBreakBefore w:val="0"/>
        <w:widowControl w:val="0"/>
        <w:tabs>
          <w:tab w:val="center" w:pos="4252"/>
          <w:tab w:val="right" w:pos="8504"/>
        </w:tabs>
        <w:suppressAutoHyphens/>
        <w:kinsoku/>
        <w:wordWrap/>
        <w:overflowPunct w:val="0"/>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lang w:val="en-US" w:eastAsia="zh-CN"/>
        </w:rPr>
        <w:t>3.</w:t>
      </w:r>
      <w:r>
        <w:rPr>
          <w:rFonts w:hint="eastAsia" w:ascii="Times New Roman" w:hAnsi="Times New Roman" w:eastAsia="方正仿宋简体" w:cs="方正仿宋简体"/>
          <w:color w:val="auto"/>
          <w:spacing w:val="-6"/>
          <w:sz w:val="32"/>
          <w:szCs w:val="32"/>
          <w:highlight w:val="none"/>
          <w:u w:val="none"/>
          <w:lang w:val="en-US" w:eastAsia="zh-CN"/>
        </w:rPr>
        <w:t>鲤城区常泰街道金泰花园二期新建安置房评估基准价为8040</w:t>
      </w:r>
      <w:r>
        <w:rPr>
          <w:rFonts w:hint="eastAsia" w:ascii="Times New Roman" w:hAnsi="Times New Roman" w:eastAsia="方正仿宋简体" w:cs="方正仿宋简体"/>
          <w:color w:val="auto"/>
          <w:spacing w:val="-6"/>
          <w:sz w:val="32"/>
          <w:szCs w:val="32"/>
          <w:highlight w:val="none"/>
          <w:u w:val="none"/>
        </w:rPr>
        <w:t>元/㎡</w:t>
      </w:r>
      <w:r>
        <w:rPr>
          <w:rFonts w:hint="eastAsia" w:ascii="Times New Roman" w:hAnsi="Times New Roman" w:eastAsia="方正仿宋简体" w:cs="方正仿宋简体"/>
          <w:color w:val="auto"/>
          <w:spacing w:val="0"/>
          <w:sz w:val="32"/>
          <w:szCs w:val="32"/>
          <w:highlight w:val="none"/>
          <w:u w:val="none"/>
        </w:rPr>
        <w:t>。</w:t>
      </w:r>
      <w:r>
        <w:rPr>
          <w:rFonts w:hint="eastAsia" w:ascii="Times New Roman" w:hAnsi="Times New Roman" w:eastAsia="方正仿宋简体" w:cs="方正仿宋简体"/>
          <w:color w:val="auto"/>
          <w:sz w:val="32"/>
          <w:szCs w:val="32"/>
          <w:highlight w:val="none"/>
          <w:u w:val="none"/>
        </w:rPr>
        <w:t>在征收决定规定的签约期限内签订协议并按时搬迁的</w:t>
      </w:r>
      <w:r>
        <w:rPr>
          <w:rFonts w:hint="eastAsia" w:ascii="Times New Roman" w:hAnsi="Times New Roman" w:eastAsia="方正仿宋简体" w:cs="方正仿宋简体"/>
          <w:color w:val="auto"/>
          <w:spacing w:val="0"/>
          <w:sz w:val="32"/>
          <w:szCs w:val="32"/>
          <w:highlight w:val="none"/>
          <w:u w:val="none"/>
          <w:lang w:val="en-US" w:eastAsia="zh-CN"/>
        </w:rPr>
        <w:t>，按优惠后的价格5450元/㎡进行结算。</w:t>
      </w:r>
    </w:p>
    <w:p w14:paraId="529097A6">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简体" w:cs="方正仿宋简体"/>
          <w:color w:val="auto"/>
          <w:spacing w:val="0"/>
          <w:sz w:val="32"/>
          <w:szCs w:val="32"/>
          <w:highlight w:val="none"/>
          <w:u w:val="none"/>
          <w:lang w:val="en-US" w:eastAsia="zh-CN"/>
        </w:rPr>
      </w:pPr>
      <w:r>
        <w:rPr>
          <w:rFonts w:hint="eastAsia" w:ascii="Times New Roman" w:hAnsi="Times New Roman" w:eastAsia="方正仿宋简体" w:cs="方正仿宋简体"/>
          <w:color w:val="auto"/>
          <w:spacing w:val="0"/>
          <w:sz w:val="32"/>
          <w:szCs w:val="32"/>
          <w:highlight w:val="none"/>
          <w:u w:val="none"/>
          <w:lang w:val="en-US" w:eastAsia="zh-CN"/>
        </w:rPr>
        <w:t>4</w:t>
      </w:r>
      <w:r>
        <w:rPr>
          <w:rFonts w:hint="eastAsia" w:ascii="Times New Roman" w:hAnsi="Times New Roman" w:eastAsia="方正仿宋简体" w:cs="方正仿宋简体"/>
          <w:color w:val="auto"/>
          <w:spacing w:val="0"/>
          <w:sz w:val="32"/>
          <w:szCs w:val="32"/>
          <w:highlight w:val="none"/>
          <w:lang w:val="en-US" w:eastAsia="zh-CN"/>
        </w:rPr>
        <w:t>.</w:t>
      </w:r>
      <w:r>
        <w:rPr>
          <w:rFonts w:hint="eastAsia" w:ascii="Times New Roman" w:hAnsi="Times New Roman" w:eastAsia="方正仿宋简体" w:cs="方正仿宋简体"/>
          <w:color w:val="auto"/>
          <w:spacing w:val="0"/>
          <w:sz w:val="32"/>
          <w:szCs w:val="32"/>
          <w:highlight w:val="none"/>
          <w:u w:val="none"/>
        </w:rPr>
        <w:t>被征收人应按最接近可调换面积的原则选房，因产权调换房屋</w:t>
      </w:r>
      <w:r>
        <w:rPr>
          <w:rFonts w:hint="eastAsia" w:ascii="Times New Roman" w:hAnsi="Times New Roman" w:eastAsia="方正仿宋简体" w:cs="方正仿宋简体"/>
          <w:color w:val="auto"/>
          <w:spacing w:val="-6"/>
          <w:sz w:val="32"/>
          <w:szCs w:val="32"/>
          <w:highlight w:val="none"/>
          <w:u w:val="none"/>
        </w:rPr>
        <w:t>户型、结构等原因，</w:t>
      </w:r>
      <w:r>
        <w:rPr>
          <w:rFonts w:hint="eastAsia" w:ascii="Times New Roman" w:hAnsi="Times New Roman" w:eastAsia="方正仿宋简体" w:cs="方正仿宋简体"/>
          <w:color w:val="auto"/>
          <w:spacing w:val="-6"/>
          <w:sz w:val="32"/>
          <w:szCs w:val="32"/>
          <w:highlight w:val="none"/>
          <w:u w:val="none"/>
          <w:lang w:val="en-US" w:eastAsia="zh-CN"/>
        </w:rPr>
        <w:t>安置房建筑面积</w:t>
      </w:r>
      <w:r>
        <w:rPr>
          <w:rFonts w:hint="eastAsia" w:ascii="Times New Roman" w:hAnsi="Times New Roman" w:eastAsia="方正仿宋简体" w:cs="方正仿宋简体"/>
          <w:color w:val="auto"/>
          <w:spacing w:val="-6"/>
          <w:sz w:val="32"/>
          <w:szCs w:val="32"/>
          <w:highlight w:val="none"/>
          <w:u w:val="none"/>
        </w:rPr>
        <w:t>超过其可调换面积部分</w:t>
      </w:r>
      <w:r>
        <w:rPr>
          <w:rFonts w:hint="eastAsia" w:ascii="Times New Roman" w:hAnsi="Times New Roman" w:eastAsia="方正仿宋简体" w:cs="方正仿宋简体"/>
          <w:color w:val="auto"/>
          <w:spacing w:val="-6"/>
          <w:sz w:val="32"/>
          <w:szCs w:val="32"/>
          <w:highlight w:val="none"/>
          <w:u w:val="none"/>
          <w:lang w:eastAsia="zh-CN"/>
        </w:rPr>
        <w:t>（</w:t>
      </w:r>
      <w:r>
        <w:rPr>
          <w:rFonts w:hint="eastAsia" w:ascii="Times New Roman" w:hAnsi="Times New Roman" w:eastAsia="方正仿宋简体" w:cs="方正仿宋简体"/>
          <w:color w:val="auto"/>
          <w:spacing w:val="-6"/>
          <w:sz w:val="32"/>
          <w:szCs w:val="32"/>
          <w:highlight w:val="none"/>
          <w:u w:val="none"/>
          <w:lang w:val="en-US" w:eastAsia="zh-CN"/>
        </w:rPr>
        <w:t>原则上不超过20㎡）</w:t>
      </w:r>
      <w:r>
        <w:rPr>
          <w:rFonts w:hint="eastAsia" w:ascii="Times New Roman" w:hAnsi="Times New Roman" w:eastAsia="方正仿宋简体" w:cs="方正仿宋简体"/>
          <w:color w:val="auto"/>
          <w:spacing w:val="-6"/>
          <w:sz w:val="32"/>
          <w:szCs w:val="32"/>
          <w:highlight w:val="none"/>
          <w:u w:val="none"/>
          <w:lang w:eastAsia="zh-CN"/>
        </w:rPr>
        <w:t>，</w:t>
      </w:r>
      <w:r>
        <w:rPr>
          <w:rFonts w:hint="eastAsia" w:ascii="Times New Roman" w:hAnsi="Times New Roman" w:eastAsia="方正仿宋简体" w:cs="方正仿宋简体"/>
          <w:color w:val="auto"/>
          <w:spacing w:val="-6"/>
          <w:sz w:val="32"/>
          <w:szCs w:val="32"/>
          <w:highlight w:val="none"/>
          <w:u w:val="none"/>
          <w:lang w:val="en-US" w:eastAsia="zh-CN"/>
        </w:rPr>
        <w:t>按不超过</w:t>
      </w:r>
      <w:r>
        <w:rPr>
          <w:rFonts w:hint="eastAsia" w:ascii="Times New Roman" w:hAnsi="Times New Roman" w:eastAsia="方正仿宋简体" w:cs="方正仿宋简体"/>
          <w:color w:val="auto"/>
          <w:spacing w:val="-6"/>
          <w:sz w:val="32"/>
          <w:szCs w:val="32"/>
          <w:highlight w:val="none"/>
          <w:u w:val="none"/>
        </w:rPr>
        <w:t>20㎡</w:t>
      </w:r>
      <w:r>
        <w:rPr>
          <w:rFonts w:hint="eastAsia" w:ascii="Times New Roman" w:hAnsi="Times New Roman" w:eastAsia="方正仿宋简体" w:cs="方正仿宋简体"/>
          <w:color w:val="auto"/>
          <w:spacing w:val="-6"/>
          <w:sz w:val="32"/>
          <w:szCs w:val="32"/>
          <w:highlight w:val="none"/>
          <w:u w:val="none"/>
          <w:lang w:val="en-US" w:eastAsia="zh-CN"/>
        </w:rPr>
        <w:t>给予扩购优惠</w:t>
      </w:r>
      <w:r>
        <w:rPr>
          <w:rFonts w:hint="eastAsia" w:ascii="Times New Roman" w:hAnsi="Times New Roman" w:eastAsia="方正仿宋简体" w:cs="方正仿宋简体"/>
          <w:color w:val="auto"/>
          <w:spacing w:val="-6"/>
          <w:sz w:val="32"/>
          <w:szCs w:val="32"/>
          <w:highlight w:val="none"/>
          <w:u w:val="none"/>
        </w:rPr>
        <w:t>，</w:t>
      </w:r>
      <w:r>
        <w:rPr>
          <w:rFonts w:hint="eastAsia" w:ascii="Times New Roman" w:hAnsi="Times New Roman" w:eastAsia="方正仿宋简体" w:cs="方正仿宋简体"/>
          <w:color w:val="auto"/>
          <w:spacing w:val="-6"/>
          <w:sz w:val="32"/>
          <w:szCs w:val="32"/>
          <w:highlight w:val="none"/>
          <w:u w:val="none"/>
          <w:lang w:val="en-US" w:eastAsia="zh-CN"/>
        </w:rPr>
        <w:t>具体如下：</w:t>
      </w:r>
    </w:p>
    <w:tbl>
      <w:tblPr>
        <w:tblStyle w:val="9"/>
        <w:tblpPr w:leftFromText="180" w:rightFromText="180" w:vertAnchor="text" w:horzAnchor="margin" w:tblpY="4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7"/>
        <w:gridCol w:w="2220"/>
        <w:gridCol w:w="2325"/>
        <w:gridCol w:w="2227"/>
      </w:tblGrid>
      <w:tr w14:paraId="4170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039"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7B3A0FE4">
            <w:pPr>
              <w:spacing w:line="600" w:lineRule="exact"/>
              <w:ind w:firstLine="3360" w:firstLineChars="1050"/>
              <w:jc w:val="both"/>
              <w:rPr>
                <w:rFonts w:eastAsia="方正仿宋简体"/>
                <w:color w:val="auto"/>
                <w:sz w:val="32"/>
                <w:szCs w:val="32"/>
                <w:highlight w:val="none"/>
              </w:rPr>
            </w:pPr>
            <w:r>
              <w:rPr>
                <w:rFonts w:eastAsia="方正仿宋简体"/>
                <w:color w:val="auto"/>
                <w:sz w:val="32"/>
                <w:szCs w:val="32"/>
                <w:highlight w:val="none"/>
              </w:rPr>
              <w:t>扩购价（元/</w:t>
            </w:r>
            <w:r>
              <w:rPr>
                <w:rFonts w:eastAsia="仿宋"/>
                <w:color w:val="auto"/>
                <w:sz w:val="32"/>
                <w:szCs w:val="32"/>
                <w:highlight w:val="none"/>
              </w:rPr>
              <w:t>㎡</w:t>
            </w:r>
            <w:r>
              <w:rPr>
                <w:rFonts w:eastAsia="方正仿宋简体"/>
                <w:color w:val="auto"/>
                <w:sz w:val="32"/>
                <w:szCs w:val="32"/>
                <w:highlight w:val="none"/>
              </w:rPr>
              <w:t>）</w:t>
            </w:r>
          </w:p>
        </w:tc>
      </w:tr>
      <w:tr w14:paraId="553C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A72D9F">
            <w:pPr>
              <w:spacing w:line="600" w:lineRule="exact"/>
              <w:jc w:val="both"/>
              <w:rPr>
                <w:rFonts w:eastAsia="方正仿宋简体"/>
                <w:color w:val="auto"/>
                <w:spacing w:val="-23"/>
                <w:sz w:val="32"/>
                <w:szCs w:val="32"/>
                <w:highlight w:val="none"/>
              </w:rPr>
            </w:pPr>
            <w:r>
              <w:rPr>
                <w:rFonts w:eastAsia="方正仿宋简体"/>
                <w:color w:val="auto"/>
                <w:spacing w:val="-23"/>
                <w:sz w:val="32"/>
                <w:szCs w:val="32"/>
                <w:highlight w:val="none"/>
              </w:rPr>
              <w:t>5㎡以内（含5㎡）</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C77D3B">
            <w:pPr>
              <w:spacing w:line="600" w:lineRule="exact"/>
              <w:jc w:val="center"/>
              <w:rPr>
                <w:rFonts w:eastAsia="方正仿宋简体"/>
                <w:color w:val="auto"/>
                <w:spacing w:val="-23"/>
                <w:sz w:val="32"/>
                <w:szCs w:val="32"/>
                <w:highlight w:val="none"/>
              </w:rPr>
            </w:pPr>
            <w:r>
              <w:rPr>
                <w:rFonts w:eastAsia="方正仿宋简体"/>
                <w:color w:val="auto"/>
                <w:spacing w:val="-23"/>
                <w:sz w:val="32"/>
                <w:szCs w:val="32"/>
                <w:highlight w:val="none"/>
              </w:rPr>
              <w:t>5</w:t>
            </w:r>
            <w:r>
              <w:rPr>
                <w:rFonts w:eastAsia="仿宋"/>
                <w:color w:val="auto"/>
                <w:spacing w:val="-23"/>
                <w:sz w:val="32"/>
                <w:szCs w:val="32"/>
                <w:highlight w:val="none"/>
              </w:rPr>
              <w:t>㎡</w:t>
            </w:r>
            <w:r>
              <w:rPr>
                <w:rFonts w:eastAsia="方正仿宋简体"/>
                <w:color w:val="auto"/>
                <w:spacing w:val="-23"/>
                <w:sz w:val="32"/>
                <w:szCs w:val="32"/>
                <w:highlight w:val="none"/>
              </w:rPr>
              <w:t>-10</w:t>
            </w:r>
            <w:r>
              <w:rPr>
                <w:rFonts w:eastAsia="仿宋"/>
                <w:color w:val="auto"/>
                <w:spacing w:val="-23"/>
                <w:sz w:val="32"/>
                <w:szCs w:val="32"/>
                <w:highlight w:val="none"/>
              </w:rPr>
              <w:t>㎡</w:t>
            </w:r>
            <w:r>
              <w:rPr>
                <w:rFonts w:eastAsia="方正仿宋简体"/>
                <w:color w:val="auto"/>
                <w:spacing w:val="-23"/>
                <w:sz w:val="32"/>
                <w:szCs w:val="32"/>
                <w:highlight w:val="none"/>
              </w:rPr>
              <w:t>以内（含10</w:t>
            </w:r>
            <w:r>
              <w:rPr>
                <w:rFonts w:eastAsia="仿宋"/>
                <w:color w:val="auto"/>
                <w:spacing w:val="-23"/>
                <w:sz w:val="32"/>
                <w:szCs w:val="32"/>
                <w:highlight w:val="none"/>
              </w:rPr>
              <w:t>㎡</w:t>
            </w:r>
            <w:r>
              <w:rPr>
                <w:rFonts w:eastAsia="方正仿宋简体"/>
                <w:color w:val="auto"/>
                <w:spacing w:val="-23"/>
                <w:sz w:val="32"/>
                <w:szCs w:val="32"/>
                <w:highlight w:val="none"/>
              </w:rPr>
              <w:t>）</w:t>
            </w:r>
          </w:p>
        </w:tc>
        <w:tc>
          <w:tcPr>
            <w:tcW w:w="2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70570">
            <w:pPr>
              <w:spacing w:line="600" w:lineRule="exact"/>
              <w:jc w:val="center"/>
              <w:rPr>
                <w:rFonts w:eastAsia="方正仿宋简体"/>
                <w:color w:val="auto"/>
                <w:spacing w:val="-23"/>
                <w:sz w:val="32"/>
                <w:szCs w:val="32"/>
                <w:highlight w:val="none"/>
              </w:rPr>
            </w:pPr>
            <w:r>
              <w:rPr>
                <w:rFonts w:eastAsia="方正仿宋简体"/>
                <w:color w:val="auto"/>
                <w:spacing w:val="-23"/>
                <w:sz w:val="32"/>
                <w:szCs w:val="32"/>
                <w:highlight w:val="none"/>
              </w:rPr>
              <w:t>10</w:t>
            </w:r>
            <w:r>
              <w:rPr>
                <w:rFonts w:eastAsia="仿宋"/>
                <w:color w:val="auto"/>
                <w:spacing w:val="-23"/>
                <w:sz w:val="32"/>
                <w:szCs w:val="32"/>
                <w:highlight w:val="none"/>
              </w:rPr>
              <w:t>㎡</w:t>
            </w:r>
            <w:r>
              <w:rPr>
                <w:rFonts w:eastAsia="方正仿宋简体"/>
                <w:color w:val="auto"/>
                <w:spacing w:val="-23"/>
                <w:sz w:val="32"/>
                <w:szCs w:val="32"/>
                <w:highlight w:val="none"/>
              </w:rPr>
              <w:t>-20</w:t>
            </w:r>
            <w:r>
              <w:rPr>
                <w:rFonts w:eastAsia="仿宋"/>
                <w:color w:val="auto"/>
                <w:spacing w:val="-23"/>
                <w:sz w:val="32"/>
                <w:szCs w:val="32"/>
                <w:highlight w:val="none"/>
              </w:rPr>
              <w:t>㎡</w:t>
            </w:r>
            <w:r>
              <w:rPr>
                <w:rFonts w:eastAsia="方正仿宋简体"/>
                <w:color w:val="auto"/>
                <w:spacing w:val="-23"/>
                <w:sz w:val="32"/>
                <w:szCs w:val="32"/>
                <w:highlight w:val="none"/>
              </w:rPr>
              <w:t>以内（含20</w:t>
            </w:r>
            <w:r>
              <w:rPr>
                <w:rFonts w:eastAsia="仿宋"/>
                <w:color w:val="auto"/>
                <w:spacing w:val="-23"/>
                <w:sz w:val="32"/>
                <w:szCs w:val="32"/>
                <w:highlight w:val="none"/>
              </w:rPr>
              <w:t>㎡</w:t>
            </w:r>
            <w:r>
              <w:rPr>
                <w:rFonts w:eastAsia="方正仿宋简体"/>
                <w:color w:val="auto"/>
                <w:spacing w:val="-23"/>
                <w:sz w:val="32"/>
                <w:szCs w:val="32"/>
                <w:highlight w:val="none"/>
              </w:rPr>
              <w:t>）</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EBB83">
            <w:pPr>
              <w:spacing w:line="600" w:lineRule="exact"/>
              <w:ind w:firstLine="548" w:firstLineChars="200"/>
              <w:jc w:val="both"/>
              <w:rPr>
                <w:rFonts w:eastAsia="方正仿宋简体"/>
                <w:color w:val="auto"/>
                <w:spacing w:val="-23"/>
                <w:sz w:val="32"/>
                <w:szCs w:val="32"/>
                <w:highlight w:val="none"/>
              </w:rPr>
            </w:pPr>
            <w:r>
              <w:rPr>
                <w:rFonts w:eastAsia="方正仿宋简体"/>
                <w:color w:val="auto"/>
                <w:spacing w:val="-23"/>
                <w:sz w:val="32"/>
                <w:szCs w:val="32"/>
                <w:highlight w:val="none"/>
              </w:rPr>
              <w:t>20</w:t>
            </w:r>
            <w:r>
              <w:rPr>
                <w:rFonts w:eastAsia="仿宋"/>
                <w:color w:val="auto"/>
                <w:spacing w:val="-23"/>
                <w:sz w:val="32"/>
                <w:szCs w:val="32"/>
                <w:highlight w:val="none"/>
              </w:rPr>
              <w:t>㎡</w:t>
            </w:r>
            <w:r>
              <w:rPr>
                <w:rFonts w:eastAsia="方正仿宋简体"/>
                <w:color w:val="auto"/>
                <w:spacing w:val="-23"/>
                <w:sz w:val="32"/>
                <w:szCs w:val="32"/>
                <w:highlight w:val="none"/>
              </w:rPr>
              <w:t>以上</w:t>
            </w:r>
          </w:p>
        </w:tc>
      </w:tr>
      <w:tr w14:paraId="4142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2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1C6D8">
            <w:pPr>
              <w:spacing w:line="600" w:lineRule="exact"/>
              <w:jc w:val="center"/>
              <w:rPr>
                <w:rFonts w:hint="default" w:eastAsia="方正仿宋简体"/>
                <w:color w:val="auto"/>
                <w:spacing w:val="-23"/>
                <w:sz w:val="32"/>
                <w:szCs w:val="32"/>
                <w:highlight w:val="none"/>
                <w:lang w:val="en-US" w:eastAsia="zh-CN"/>
              </w:rPr>
            </w:pPr>
            <w:r>
              <w:rPr>
                <w:rFonts w:hint="eastAsia" w:eastAsia="方正仿宋简体"/>
                <w:color w:val="auto"/>
                <w:spacing w:val="-23"/>
                <w:sz w:val="32"/>
                <w:szCs w:val="32"/>
                <w:highlight w:val="none"/>
                <w:lang w:val="en-US" w:eastAsia="zh-CN"/>
              </w:rPr>
              <w:t>5450</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BDA6B">
            <w:pPr>
              <w:spacing w:line="600" w:lineRule="exact"/>
              <w:jc w:val="center"/>
              <w:rPr>
                <w:rFonts w:hint="default" w:eastAsia="方正仿宋简体"/>
                <w:color w:val="auto"/>
                <w:sz w:val="32"/>
                <w:szCs w:val="32"/>
                <w:highlight w:val="none"/>
                <w:lang w:val="en-US" w:eastAsia="zh-CN"/>
              </w:rPr>
            </w:pPr>
            <w:r>
              <w:rPr>
                <w:rFonts w:hint="eastAsia" w:eastAsia="方正仿宋简体"/>
                <w:color w:val="auto"/>
                <w:sz w:val="32"/>
                <w:szCs w:val="32"/>
                <w:highlight w:val="none"/>
                <w:lang w:val="en-US" w:eastAsia="zh-CN"/>
              </w:rPr>
              <w:t>6450</w:t>
            </w:r>
          </w:p>
        </w:tc>
        <w:tc>
          <w:tcPr>
            <w:tcW w:w="2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50C9F2">
            <w:pPr>
              <w:spacing w:line="600" w:lineRule="exact"/>
              <w:jc w:val="center"/>
              <w:rPr>
                <w:rFonts w:hint="default" w:eastAsia="方正仿宋简体"/>
                <w:color w:val="auto"/>
                <w:sz w:val="32"/>
                <w:szCs w:val="32"/>
                <w:highlight w:val="none"/>
                <w:lang w:val="en-US" w:eastAsia="zh-CN"/>
              </w:rPr>
            </w:pPr>
            <w:r>
              <w:rPr>
                <w:rFonts w:hint="eastAsia" w:eastAsia="方正仿宋简体"/>
                <w:color w:val="auto"/>
                <w:sz w:val="32"/>
                <w:szCs w:val="32"/>
                <w:highlight w:val="none"/>
                <w:lang w:val="en-US" w:eastAsia="zh-CN"/>
              </w:rPr>
              <w:t>7450</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736A3E">
            <w:pPr>
              <w:spacing w:line="600" w:lineRule="exact"/>
              <w:jc w:val="center"/>
              <w:rPr>
                <w:rFonts w:eastAsia="方正仿宋简体"/>
                <w:color w:val="auto"/>
                <w:sz w:val="32"/>
                <w:szCs w:val="32"/>
                <w:highlight w:val="none"/>
              </w:rPr>
            </w:pPr>
            <w:r>
              <w:rPr>
                <w:rFonts w:eastAsia="方正仿宋简体"/>
                <w:color w:val="auto"/>
                <w:sz w:val="32"/>
                <w:szCs w:val="32"/>
                <w:highlight w:val="none"/>
              </w:rPr>
              <w:t>按</w:t>
            </w:r>
            <w:r>
              <w:rPr>
                <w:rFonts w:hint="eastAsia" w:eastAsia="方正仿宋简体"/>
                <w:color w:val="auto"/>
                <w:sz w:val="32"/>
                <w:szCs w:val="32"/>
                <w:highlight w:val="none"/>
                <w:lang w:val="en-US" w:eastAsia="zh-CN"/>
              </w:rPr>
              <w:t xml:space="preserve">安置时点 </w:t>
            </w:r>
            <w:r>
              <w:rPr>
                <w:rFonts w:eastAsia="方正仿宋简体"/>
                <w:color w:val="auto"/>
                <w:sz w:val="32"/>
                <w:szCs w:val="32"/>
                <w:highlight w:val="none"/>
              </w:rPr>
              <w:t>市场价</w:t>
            </w:r>
          </w:p>
        </w:tc>
      </w:tr>
    </w:tbl>
    <w:p w14:paraId="6F1F83BA">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u w:val="none"/>
        </w:rPr>
      </w:pPr>
      <w:r>
        <w:rPr>
          <w:rFonts w:hint="eastAsia" w:ascii="Times New Roman" w:hAnsi="Times New Roman" w:eastAsia="方正仿宋简体" w:cs="方正仿宋简体"/>
          <w:color w:val="auto"/>
          <w:spacing w:val="0"/>
          <w:sz w:val="32"/>
          <w:szCs w:val="32"/>
          <w:highlight w:val="none"/>
          <w:u w:val="none"/>
          <w:lang w:val="en-US" w:eastAsia="zh-CN"/>
        </w:rPr>
        <w:t>5.安置房建筑面积不足被征收房屋可产权调换的安置面积部分，按本方案确定的货币补偿价格结算。</w:t>
      </w:r>
    </w:p>
    <w:p w14:paraId="422BA5DD">
      <w:pPr>
        <w:pStyle w:val="5"/>
        <w:keepNext w:val="0"/>
        <w:keepLines w:val="0"/>
        <w:pageBreakBefore w:val="0"/>
        <w:widowControl w:val="0"/>
        <w:kinsoku/>
        <w:wordWrap/>
        <w:topLinePunct w:val="0"/>
        <w:autoSpaceDE/>
        <w:autoSpaceDN/>
        <w:bidi w:val="0"/>
        <w:spacing w:line="560" w:lineRule="exact"/>
        <w:ind w:firstLine="643" w:firstLineChars="200"/>
        <w:jc w:val="both"/>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（二）结算办法</w:t>
      </w:r>
    </w:p>
    <w:p w14:paraId="67E581B6">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被征收人签约并按时搬迁后，先发放搬迁费、第一期临时安置费和按期搬迁奖励等。被征收人应缴的补差价（包括扩购价、层次差价）待选房后一并结算，并在规定期限内付清。</w:t>
      </w:r>
    </w:p>
    <w:p w14:paraId="0DA9D7A1">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hint="eastAsia" w:ascii="Times New Roman" w:hAnsi="Times New Roman" w:eastAsia="方正仿宋简体" w:cs="方正仿宋简体"/>
          <w:b/>
          <w:bCs/>
          <w:color w:val="auto"/>
          <w:spacing w:val="0"/>
          <w:sz w:val="32"/>
          <w:szCs w:val="32"/>
          <w:highlight w:val="none"/>
          <w:lang w:eastAsia="zh-CN"/>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三</w:t>
      </w:r>
      <w:r>
        <w:rPr>
          <w:rFonts w:hint="eastAsia" w:ascii="Times New Roman" w:hAnsi="Times New Roman" w:eastAsia="方正仿宋简体" w:cs="方正仿宋简体"/>
          <w:b/>
          <w:bCs/>
          <w:color w:val="auto"/>
          <w:spacing w:val="0"/>
          <w:sz w:val="32"/>
          <w:szCs w:val="32"/>
          <w:highlight w:val="none"/>
        </w:rPr>
        <w:t>条 其</w:t>
      </w:r>
      <w:r>
        <w:rPr>
          <w:rFonts w:hint="eastAsia" w:eastAsia="方正仿宋简体" w:cs="方正仿宋简体"/>
          <w:b/>
          <w:bCs/>
          <w:color w:val="auto"/>
          <w:spacing w:val="0"/>
          <w:sz w:val="32"/>
          <w:szCs w:val="32"/>
          <w:highlight w:val="none"/>
          <w:lang w:eastAsia="zh-CN"/>
        </w:rPr>
        <w:t>他</w:t>
      </w:r>
    </w:p>
    <w:p w14:paraId="79BF9C21">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（一）民宅内经批准未基建的宅基地按900元/㎡标准给予补偿；在使用权方面没有争议的埕地按450元/㎡标准给予补偿。</w:t>
      </w:r>
    </w:p>
    <w:p w14:paraId="71F79412">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（二）具有合法产权的已倒塌住宅房屋，其合法建筑面积缴纳1500元/㎡的修复差价后，按照本方案标准补偿。</w:t>
      </w:r>
    </w:p>
    <w:p w14:paraId="6BFB8358">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before="313" w:beforeLines="100" w:after="313" w:afterLines="100" w:line="560" w:lineRule="exact"/>
        <w:jc w:val="center"/>
        <w:textAlignment w:val="baseline"/>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rPr>
        <w:t>第四部分</w:t>
      </w:r>
      <w:r>
        <w:rPr>
          <w:rFonts w:hint="eastAsia" w:ascii="Times New Roman" w:hAnsi="Times New Roman" w:eastAsia="黑体" w:cs="黑体"/>
          <w:color w:val="auto"/>
          <w:spacing w:val="0"/>
          <w:sz w:val="32"/>
          <w:szCs w:val="32"/>
          <w:highlight w:val="none"/>
          <w:lang w:val="en-US" w:eastAsia="zh-CN"/>
        </w:rPr>
        <w:t xml:space="preserve">  </w:t>
      </w:r>
      <w:r>
        <w:rPr>
          <w:rFonts w:hint="eastAsia" w:ascii="Times New Roman" w:hAnsi="Times New Roman" w:eastAsia="黑体" w:cs="黑体"/>
          <w:color w:val="auto"/>
          <w:spacing w:val="0"/>
          <w:sz w:val="32"/>
          <w:szCs w:val="32"/>
          <w:highlight w:val="none"/>
        </w:rPr>
        <w:t>保障办法</w:t>
      </w:r>
    </w:p>
    <w:p w14:paraId="69FFF2E5">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四</w:t>
      </w:r>
      <w:r>
        <w:rPr>
          <w:rFonts w:hint="eastAsia" w:ascii="Times New Roman" w:hAnsi="Times New Roman" w:eastAsia="方正仿宋简体" w:cs="方正仿宋简体"/>
          <w:b/>
          <w:bCs/>
          <w:color w:val="auto"/>
          <w:spacing w:val="0"/>
          <w:sz w:val="32"/>
          <w:szCs w:val="32"/>
          <w:highlight w:val="none"/>
        </w:rPr>
        <w:t>条 低保群体住房保障办法</w:t>
      </w:r>
    </w:p>
    <w:p w14:paraId="6B3558E2">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被征收人选择货币补偿的，属民政部门认定的低保对象且在中心市区无其他住房，若其被征收房屋人均建筑面积不足20㎡，则被征收房屋价值补偿款按人均建筑面积20㎡补足。</w:t>
      </w:r>
    </w:p>
    <w:p w14:paraId="52179CD3">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本方案所称的“人均”的计算公式为：人均建筑面积=认定的可以补偿建筑面积÷征收决定作出前被征收房屋户口簿记载的人口数（被征收房屋户口簿记载的人口需为被征收房屋所有权人的直系亲属且为常住人口）。</w:t>
      </w:r>
    </w:p>
    <w:p w14:paraId="54AE5D95">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五</w:t>
      </w:r>
      <w:r>
        <w:rPr>
          <w:rFonts w:hint="eastAsia" w:ascii="Times New Roman" w:hAnsi="Times New Roman" w:eastAsia="方正仿宋简体" w:cs="方正仿宋简体"/>
          <w:b/>
          <w:bCs/>
          <w:color w:val="auto"/>
          <w:spacing w:val="0"/>
          <w:sz w:val="32"/>
          <w:szCs w:val="32"/>
          <w:highlight w:val="none"/>
        </w:rPr>
        <w:t>条 低收入住房困难家庭保障办法</w:t>
      </w:r>
    </w:p>
    <w:p w14:paraId="25025689">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被征收人选择房屋产权调换的，被征收房屋建筑面积不足当地廉租房保障标准的，按不低于当地廉</w:t>
      </w:r>
      <w:r>
        <w:rPr>
          <w:rFonts w:hint="eastAsia" w:ascii="Times New Roman" w:hAnsi="Times New Roman" w:eastAsia="方正仿宋简体" w:cs="方正仿宋简体"/>
          <w:color w:val="auto"/>
          <w:spacing w:val="-6"/>
          <w:sz w:val="32"/>
          <w:szCs w:val="32"/>
          <w:highlight w:val="none"/>
        </w:rPr>
        <w:t>租房保障标准确定</w:t>
      </w:r>
      <w:r>
        <w:rPr>
          <w:rFonts w:hint="eastAsia" w:ascii="Times New Roman" w:hAnsi="Times New Roman" w:eastAsia="方正仿宋简体" w:cs="方正仿宋简体"/>
          <w:color w:val="auto"/>
          <w:spacing w:val="-6"/>
          <w:sz w:val="32"/>
          <w:szCs w:val="32"/>
          <w:highlight w:val="none"/>
          <w:lang w:val="en-US" w:eastAsia="zh-CN"/>
        </w:rPr>
        <w:t>产权调换面积</w:t>
      </w:r>
      <w:r>
        <w:rPr>
          <w:rFonts w:hint="eastAsia" w:ascii="Times New Roman" w:hAnsi="Times New Roman" w:eastAsia="方正仿宋简体" w:cs="方正仿宋简体"/>
          <w:color w:val="auto"/>
          <w:spacing w:val="-6"/>
          <w:sz w:val="32"/>
          <w:szCs w:val="32"/>
          <w:highlight w:val="none"/>
        </w:rPr>
        <w:t>。若其被征收房屋人均建筑面积不足20㎡，可按人均建筑面积20㎡确定</w:t>
      </w:r>
      <w:r>
        <w:rPr>
          <w:rFonts w:hint="eastAsia" w:ascii="Times New Roman" w:hAnsi="Times New Roman" w:eastAsia="方正仿宋简体" w:cs="方正仿宋简体"/>
          <w:color w:val="auto"/>
          <w:spacing w:val="-6"/>
          <w:sz w:val="32"/>
          <w:szCs w:val="32"/>
          <w:highlight w:val="none"/>
          <w:lang w:val="en-US" w:eastAsia="zh-CN"/>
        </w:rPr>
        <w:t>产权调换面积</w:t>
      </w:r>
      <w:r>
        <w:rPr>
          <w:rFonts w:hint="eastAsia" w:ascii="Times New Roman" w:hAnsi="Times New Roman" w:eastAsia="方正仿宋简体" w:cs="方正仿宋简体"/>
          <w:color w:val="auto"/>
          <w:spacing w:val="-6"/>
          <w:sz w:val="32"/>
          <w:szCs w:val="32"/>
          <w:highlight w:val="none"/>
        </w:rPr>
        <w:t>。</w:t>
      </w:r>
      <w:r>
        <w:rPr>
          <w:rFonts w:hint="eastAsia" w:ascii="Times New Roman" w:hAnsi="Times New Roman" w:eastAsia="方正仿宋简体" w:cs="方正仿宋简体"/>
          <w:color w:val="auto"/>
          <w:spacing w:val="-6"/>
          <w:sz w:val="32"/>
          <w:szCs w:val="32"/>
          <w:highlight w:val="none"/>
          <w:lang w:val="en-US" w:eastAsia="zh-CN"/>
        </w:rPr>
        <w:t>产权调换</w:t>
      </w:r>
      <w:r>
        <w:rPr>
          <w:rFonts w:hint="eastAsia" w:ascii="Times New Roman" w:hAnsi="Times New Roman" w:eastAsia="方正仿宋简体" w:cs="方正仿宋简体"/>
          <w:color w:val="auto"/>
          <w:spacing w:val="-6"/>
          <w:sz w:val="32"/>
          <w:szCs w:val="32"/>
          <w:highlight w:val="none"/>
        </w:rPr>
        <w:t>面积超过被征收房屋认定可补偿面积部分，按</w:t>
      </w:r>
      <w:r>
        <w:rPr>
          <w:rFonts w:hint="eastAsia" w:ascii="Times New Roman" w:hAnsi="Times New Roman" w:eastAsia="方正仿宋简体" w:cs="方正仿宋简体"/>
          <w:color w:val="auto"/>
          <w:spacing w:val="-6"/>
          <w:sz w:val="32"/>
          <w:szCs w:val="32"/>
          <w:highlight w:val="none"/>
          <w:lang w:val="en-US" w:eastAsia="zh-CN"/>
        </w:rPr>
        <w:t>5450</w:t>
      </w:r>
      <w:r>
        <w:rPr>
          <w:rFonts w:hint="eastAsia" w:ascii="Times New Roman" w:hAnsi="Times New Roman" w:eastAsia="方正仿宋简体" w:cs="方正仿宋简体"/>
          <w:color w:val="auto"/>
          <w:spacing w:val="-6"/>
          <w:sz w:val="32"/>
          <w:szCs w:val="32"/>
          <w:highlight w:val="none"/>
        </w:rPr>
        <w:t>元/㎡的价格结算</w:t>
      </w:r>
      <w:r>
        <w:rPr>
          <w:rFonts w:hint="eastAsia" w:ascii="Times New Roman" w:hAnsi="Times New Roman" w:eastAsia="方正仿宋简体" w:cs="方正仿宋简体"/>
          <w:color w:val="auto"/>
          <w:spacing w:val="0"/>
          <w:sz w:val="32"/>
          <w:szCs w:val="32"/>
          <w:highlight w:val="none"/>
        </w:rPr>
        <w:t>。</w:t>
      </w:r>
    </w:p>
    <w:p w14:paraId="1BFB3F1E">
      <w:pPr>
        <w:keepNext w:val="0"/>
        <w:keepLines w:val="0"/>
        <w:pageBreakBefore w:val="0"/>
        <w:widowControl w:val="0"/>
        <w:numPr>
          <w:ilvl w:val="0"/>
          <w:numId w:val="0"/>
        </w:numPr>
        <w:tabs>
          <w:tab w:val="center" w:pos="4252"/>
          <w:tab w:val="right" w:pos="8504"/>
        </w:tabs>
        <w:kinsoku/>
        <w:wordWrap/>
        <w:overflowPunct w:val="0"/>
        <w:topLinePunct w:val="0"/>
        <w:autoSpaceDE/>
        <w:autoSpaceDN/>
        <w:bidi w:val="0"/>
        <w:adjustRightInd w:val="0"/>
        <w:snapToGrid w:val="0"/>
        <w:spacing w:before="313" w:beforeLines="100" w:after="313" w:afterLines="100" w:line="560" w:lineRule="exact"/>
        <w:ind w:firstLine="640" w:firstLineChars="200"/>
        <w:jc w:val="both"/>
        <w:textAlignment w:val="baseline"/>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kern w:val="2"/>
          <w:sz w:val="32"/>
          <w:szCs w:val="32"/>
          <w:highlight w:val="none"/>
          <w:lang w:val="en-US" w:eastAsia="zh-CN" w:bidi="ar-SA"/>
        </w:rPr>
        <w:t>第五部分</w:t>
      </w:r>
      <w:r>
        <w:rPr>
          <w:rFonts w:hint="eastAsia" w:ascii="Times New Roman" w:hAnsi="Times New Roman" w:eastAsia="黑体" w:cs="黑体"/>
          <w:color w:val="auto"/>
          <w:spacing w:val="0"/>
          <w:sz w:val="32"/>
          <w:szCs w:val="32"/>
          <w:highlight w:val="none"/>
          <w:lang w:val="en-US" w:eastAsia="zh-CN"/>
        </w:rPr>
        <w:t xml:space="preserve">  </w:t>
      </w:r>
      <w:r>
        <w:rPr>
          <w:rFonts w:hint="eastAsia" w:ascii="Times New Roman" w:hAnsi="Times New Roman" w:eastAsia="黑体" w:cs="黑体"/>
          <w:color w:val="auto"/>
          <w:spacing w:val="0"/>
          <w:sz w:val="32"/>
          <w:szCs w:val="32"/>
          <w:highlight w:val="none"/>
        </w:rPr>
        <w:t>企业厂房、仓库及其他配套用房补偿办法</w:t>
      </w:r>
    </w:p>
    <w:p w14:paraId="14900A86">
      <w:pPr>
        <w:keepNext w:val="0"/>
        <w:keepLines w:val="0"/>
        <w:pageBreakBefore w:val="0"/>
        <w:widowControl w:val="0"/>
        <w:tabs>
          <w:tab w:val="center" w:pos="4252"/>
          <w:tab w:val="right" w:pos="8504"/>
        </w:tabs>
        <w:kinsoku/>
        <w:overflowPunct w:val="0"/>
        <w:topLinePunct w:val="0"/>
        <w:bidi w:val="0"/>
        <w:adjustRightInd w:val="0"/>
        <w:snapToGrid w:val="0"/>
        <w:spacing w:line="520" w:lineRule="exact"/>
        <w:ind w:firstLine="640"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企业厂房、仓库及其他配套用房实行货币补偿，并给予征收造成的设备搬迁费用、停产停业损失补偿。</w:t>
      </w:r>
    </w:p>
    <w:p w14:paraId="59547A29">
      <w:pPr>
        <w:keepNext w:val="0"/>
        <w:keepLines w:val="0"/>
        <w:pageBreakBefore w:val="0"/>
        <w:widowControl w:val="0"/>
        <w:tabs>
          <w:tab w:val="center" w:pos="4252"/>
          <w:tab w:val="right" w:pos="8504"/>
        </w:tabs>
        <w:kinsoku/>
        <w:overflowPunct w:val="0"/>
        <w:topLinePunct w:val="0"/>
        <w:bidi w:val="0"/>
        <w:adjustRightInd w:val="0"/>
        <w:snapToGrid w:val="0"/>
        <w:spacing w:line="520" w:lineRule="exact"/>
        <w:ind w:firstLine="643"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六</w:t>
      </w:r>
      <w:r>
        <w:rPr>
          <w:rFonts w:hint="eastAsia" w:ascii="Times New Roman" w:hAnsi="Times New Roman" w:eastAsia="方正仿宋简体" w:cs="方正仿宋简体"/>
          <w:b/>
          <w:bCs/>
          <w:color w:val="auto"/>
          <w:spacing w:val="0"/>
          <w:sz w:val="32"/>
          <w:szCs w:val="32"/>
          <w:highlight w:val="none"/>
        </w:rPr>
        <w:t>条 企业厂房、仓库及其他配套用房补偿标准</w:t>
      </w:r>
    </w:p>
    <w:p w14:paraId="769C4111">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ab/>
      </w:r>
      <w:r>
        <w:rPr>
          <w:rFonts w:hint="eastAsia" w:ascii="Times New Roman" w:hAnsi="Times New Roman" w:eastAsia="方正仿宋简体" w:cs="方正仿宋简体"/>
          <w:color w:val="auto"/>
          <w:spacing w:val="0"/>
          <w:sz w:val="32"/>
          <w:szCs w:val="32"/>
          <w:highlight w:val="none"/>
        </w:rPr>
        <w:t>（一）合法企业厂房、仓库及其他配套用房等地上建筑物按附表四的价格给予货币补偿。</w:t>
      </w:r>
    </w:p>
    <w:p w14:paraId="29329BBC">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（二）基建手续不完整的企业厂房、仓库及其他配套用房，被征收人在签约期限内签订协议并按时搬迁的，可按以下办法进行处理：</w:t>
      </w:r>
    </w:p>
    <w:p w14:paraId="28FA07D7">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1.1995年12月25日后，土地已批但未经规划建设部门批准建设的工业用房，地上建筑物按附表四重置价的90%给予补偿。</w:t>
      </w:r>
    </w:p>
    <w:p w14:paraId="3584136C">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2.使用未经批准土地建设的工业用房，地上建筑物按附表四重置价的70%给予补偿。</w:t>
      </w:r>
    </w:p>
    <w:p w14:paraId="2D2DD263">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3.纳入2003年建设用地历史遗留问题处理范围（以市城乡规划局红线图为准）的企业用地及</w:t>
      </w:r>
      <w:r>
        <w:rPr>
          <w:rFonts w:hint="eastAsia" w:ascii="Times New Roman" w:hAnsi="Times New Roman" w:eastAsia="方正仿宋简体" w:cs="方正仿宋简体"/>
          <w:color w:val="auto"/>
          <w:spacing w:val="0"/>
          <w:w w:val="90"/>
          <w:sz w:val="32"/>
          <w:szCs w:val="32"/>
          <w:highlight w:val="none"/>
        </w:rPr>
        <w:t>社区用地，土地按25.28万元/亩</w:t>
      </w:r>
      <w:r>
        <w:rPr>
          <w:rFonts w:hint="eastAsia" w:ascii="Times New Roman" w:hAnsi="Times New Roman" w:eastAsia="方正仿宋简体" w:cs="方正仿宋简体"/>
          <w:color w:val="auto"/>
          <w:spacing w:val="0"/>
          <w:sz w:val="32"/>
          <w:szCs w:val="32"/>
          <w:highlight w:val="none"/>
        </w:rPr>
        <w:t>给予补偿，按照《福建省人民政府关于妥善处理建设用地历史遗留问题的通知》（闽政〔2003〕7号）及《关于妥善处理建设用地历史遗留问题的实施意见》（泉政办〔2003〕127号）文件精神补交相关规费，补办征用补偿手续。地上建筑物按附表四重置价的80%给予补偿。</w:t>
      </w:r>
    </w:p>
    <w:p w14:paraId="09FCCA78">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以上类型房屋若存在权属纠纷，证据保全后先予征收。</w:t>
      </w:r>
    </w:p>
    <w:p w14:paraId="1A21B736">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七</w:t>
      </w:r>
      <w:r>
        <w:rPr>
          <w:rFonts w:hint="eastAsia" w:ascii="Times New Roman" w:hAnsi="Times New Roman" w:eastAsia="方正仿宋简体" w:cs="方正仿宋简体"/>
          <w:b/>
          <w:bCs/>
          <w:color w:val="auto"/>
          <w:spacing w:val="0"/>
          <w:sz w:val="32"/>
          <w:szCs w:val="32"/>
          <w:highlight w:val="none"/>
        </w:rPr>
        <w:t>条 企业用地补偿标准</w:t>
      </w:r>
    </w:p>
    <w:p w14:paraId="57DC568D">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（一）经批准并办理国有土地使用</w:t>
      </w:r>
      <w:r>
        <w:rPr>
          <w:rFonts w:hint="eastAsia" w:eastAsia="方正仿宋简体" w:cs="方正仿宋简体"/>
          <w:color w:val="auto"/>
          <w:spacing w:val="0"/>
          <w:sz w:val="32"/>
          <w:szCs w:val="32"/>
          <w:highlight w:val="none"/>
          <w:lang w:val="en-US" w:eastAsia="zh-CN"/>
        </w:rPr>
        <w:t>权</w:t>
      </w:r>
      <w:r>
        <w:rPr>
          <w:rFonts w:hint="eastAsia" w:ascii="Times New Roman" w:hAnsi="Times New Roman" w:eastAsia="方正仿宋简体" w:cs="方正仿宋简体"/>
          <w:color w:val="auto"/>
          <w:spacing w:val="0"/>
          <w:sz w:val="32"/>
          <w:szCs w:val="32"/>
          <w:highlight w:val="none"/>
        </w:rPr>
        <w:t>证的国有出让土地，收回国有出让土地使用权，按48.73万元/亩给予补偿，收回并注销国有土地使用</w:t>
      </w:r>
      <w:r>
        <w:rPr>
          <w:rFonts w:hint="eastAsia" w:eastAsia="方正仿宋简体" w:cs="方正仿宋简体"/>
          <w:color w:val="auto"/>
          <w:spacing w:val="0"/>
          <w:sz w:val="32"/>
          <w:szCs w:val="32"/>
          <w:highlight w:val="none"/>
          <w:lang w:val="en-US" w:eastAsia="zh-CN"/>
        </w:rPr>
        <w:t>权</w:t>
      </w:r>
      <w:r>
        <w:rPr>
          <w:rFonts w:hint="eastAsia" w:ascii="Times New Roman" w:hAnsi="Times New Roman" w:eastAsia="方正仿宋简体" w:cs="方正仿宋简体"/>
          <w:color w:val="auto"/>
          <w:spacing w:val="0"/>
          <w:sz w:val="32"/>
          <w:szCs w:val="32"/>
          <w:highlight w:val="none"/>
        </w:rPr>
        <w:t>证。</w:t>
      </w:r>
    </w:p>
    <w:p w14:paraId="3099B392">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（二）经批准并办理国有划拨土地使用权证的国有划拨土地，收回国有划拨土地使用权，按34.11万元/亩给予补偿，收回并注销国有划拨土地使用权证。</w:t>
      </w:r>
    </w:p>
    <w:p w14:paraId="61668790">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（三）征收未办理审批手续的企业用地，按17.06万元/亩给予补偿。</w:t>
      </w:r>
    </w:p>
    <w:p w14:paraId="01E1977B">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第十</w:t>
      </w:r>
      <w:r>
        <w:rPr>
          <w:rFonts w:hint="eastAsia" w:ascii="Times New Roman" w:hAnsi="Times New Roman" w:eastAsia="方正仿宋简体" w:cs="方正仿宋简体"/>
          <w:b/>
          <w:bCs/>
          <w:color w:val="auto"/>
          <w:spacing w:val="0"/>
          <w:sz w:val="32"/>
          <w:szCs w:val="32"/>
          <w:highlight w:val="none"/>
          <w:lang w:val="en-US" w:eastAsia="zh-CN"/>
        </w:rPr>
        <w:t>八</w:t>
      </w:r>
      <w:r>
        <w:rPr>
          <w:rFonts w:hint="eastAsia" w:ascii="Times New Roman" w:hAnsi="Times New Roman" w:eastAsia="方正仿宋简体" w:cs="方正仿宋简体"/>
          <w:b/>
          <w:bCs/>
          <w:color w:val="auto"/>
          <w:spacing w:val="0"/>
          <w:sz w:val="32"/>
          <w:szCs w:val="32"/>
          <w:highlight w:val="none"/>
        </w:rPr>
        <w:t>条 奖励办法</w:t>
      </w:r>
    </w:p>
    <w:p w14:paraId="32D64DFD">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被征收人对本方案所列价格无异议、在征收决定公告规定期限内签订协议并按时搬迁腾空的，以经认定的建筑及用地可补偿面积，按相对应的补偿标准给予10%的优惠奖励。</w:t>
      </w:r>
    </w:p>
    <w:p w14:paraId="3EED297E">
      <w:pPr>
        <w:keepNext w:val="0"/>
        <w:keepLines w:val="0"/>
        <w:pageBreakBefore w:val="0"/>
        <w:widowControl w:val="0"/>
        <w:numPr>
          <w:ilvl w:val="0"/>
          <w:numId w:val="0"/>
        </w:numPr>
        <w:tabs>
          <w:tab w:val="center" w:pos="4252"/>
          <w:tab w:val="right" w:pos="8504"/>
        </w:tabs>
        <w:kinsoku/>
        <w:wordWrap/>
        <w:overflowPunct w:val="0"/>
        <w:topLinePunct w:val="0"/>
        <w:autoSpaceDE/>
        <w:autoSpaceDN/>
        <w:bidi w:val="0"/>
        <w:adjustRightInd w:val="0"/>
        <w:snapToGrid w:val="0"/>
        <w:spacing w:before="313" w:beforeLines="100" w:after="313" w:afterLines="100" w:line="530" w:lineRule="exact"/>
        <w:jc w:val="center"/>
        <w:textAlignment w:val="baseline"/>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kern w:val="2"/>
          <w:sz w:val="32"/>
          <w:szCs w:val="32"/>
          <w:highlight w:val="none"/>
          <w:lang w:val="en-US" w:eastAsia="zh-CN" w:bidi="ar-SA"/>
        </w:rPr>
        <w:t>第六部分</w:t>
      </w:r>
      <w:r>
        <w:rPr>
          <w:rFonts w:hint="eastAsia" w:ascii="Times New Roman" w:hAnsi="Times New Roman" w:eastAsia="黑体" w:cs="黑体"/>
          <w:color w:val="auto"/>
          <w:spacing w:val="0"/>
          <w:sz w:val="32"/>
          <w:szCs w:val="32"/>
          <w:highlight w:val="none"/>
          <w:lang w:val="en-US" w:eastAsia="zh-CN"/>
        </w:rPr>
        <w:t xml:space="preserve">  </w:t>
      </w:r>
      <w:r>
        <w:rPr>
          <w:rFonts w:hint="eastAsia" w:ascii="Times New Roman" w:hAnsi="Times New Roman" w:eastAsia="黑体" w:cs="黑体"/>
          <w:color w:val="auto"/>
          <w:spacing w:val="0"/>
          <w:sz w:val="32"/>
          <w:szCs w:val="32"/>
          <w:highlight w:val="none"/>
        </w:rPr>
        <w:t>搬迁费、临时安置费和停产停业损失补偿标准</w:t>
      </w:r>
    </w:p>
    <w:p w14:paraId="42D8C6C7">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w:t>
      </w:r>
      <w:r>
        <w:rPr>
          <w:rFonts w:hint="eastAsia" w:ascii="Times New Roman" w:hAnsi="Times New Roman" w:eastAsia="方正仿宋简体" w:cs="方正仿宋简体"/>
          <w:b/>
          <w:bCs/>
          <w:color w:val="auto"/>
          <w:spacing w:val="0"/>
          <w:sz w:val="32"/>
          <w:szCs w:val="32"/>
          <w:highlight w:val="none"/>
          <w:lang w:val="en-US" w:eastAsia="zh-CN"/>
        </w:rPr>
        <w:t>十九</w:t>
      </w:r>
      <w:r>
        <w:rPr>
          <w:rFonts w:hint="eastAsia" w:ascii="Times New Roman" w:hAnsi="Times New Roman" w:eastAsia="方正仿宋简体" w:cs="方正仿宋简体"/>
          <w:b/>
          <w:bCs/>
          <w:color w:val="auto"/>
          <w:spacing w:val="0"/>
          <w:sz w:val="32"/>
          <w:szCs w:val="32"/>
          <w:highlight w:val="none"/>
        </w:rPr>
        <w:t>条 住宅按期搬迁奖励</w:t>
      </w:r>
    </w:p>
    <w:p w14:paraId="7830BA54">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对在征收决定规定的签约期限内签订协议并按时搬迁的被征收人，房屋征收部门可以给予一定的按期搬迁奖励：民宅每产权户最高5万元（被征收房屋经认定的可补偿面积少于50㎡的按1000元/㎡计算），套房每产权户最高3万元。</w:t>
      </w:r>
    </w:p>
    <w:p w14:paraId="5150D97A">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“产权户”的认定标准以有效的土地使用权契证或房屋所有权契证为计户依据。</w:t>
      </w:r>
    </w:p>
    <w:p w14:paraId="1621936F">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第二十条 搬迁费</w:t>
      </w:r>
    </w:p>
    <w:p w14:paraId="4E71C9B3">
      <w:pPr>
        <w:keepNext w:val="0"/>
        <w:keepLines w:val="0"/>
        <w:pageBreakBefore w:val="0"/>
        <w:widowControl w:val="0"/>
        <w:numPr>
          <w:ilvl w:val="0"/>
          <w:numId w:val="4"/>
        </w:numPr>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住宅</w:t>
      </w:r>
    </w:p>
    <w:p w14:paraId="169B251C">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按经认定的可补偿面积计算，标准为5元/㎡</w:t>
      </w:r>
      <w:r>
        <w:rPr>
          <w:rFonts w:hint="eastAsia" w:eastAsia="方正仿宋简体" w:cs="方正仿宋简体"/>
          <w:color w:val="auto"/>
          <w:spacing w:val="0"/>
          <w:sz w:val="32"/>
          <w:szCs w:val="32"/>
          <w:highlight w:val="none"/>
          <w:lang w:eastAsia="zh-CN"/>
        </w:rPr>
        <w:t>·</w:t>
      </w:r>
      <w:r>
        <w:rPr>
          <w:rFonts w:hint="eastAsia" w:ascii="Times New Roman" w:hAnsi="Times New Roman" w:eastAsia="方正仿宋简体" w:cs="方正仿宋简体"/>
          <w:color w:val="auto"/>
          <w:spacing w:val="0"/>
          <w:sz w:val="32"/>
          <w:szCs w:val="32"/>
          <w:highlight w:val="none"/>
        </w:rPr>
        <w:t>次。其中，选择货币补偿的，发放一次搬迁费；选择产权调换的，发放两次搬迁费。每户搬迁补助不足1000元的，按1000元给予补偿。</w:t>
      </w:r>
    </w:p>
    <w:p w14:paraId="715E98EA">
      <w:pPr>
        <w:keepNext w:val="0"/>
        <w:keepLines w:val="0"/>
        <w:pageBreakBefore w:val="0"/>
        <w:widowControl w:val="0"/>
        <w:numPr>
          <w:ilvl w:val="0"/>
          <w:numId w:val="4"/>
        </w:numPr>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企业</w:t>
      </w:r>
    </w:p>
    <w:p w14:paraId="2358F87D">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按经认定的可补偿建筑面积计算，标准为6元/㎡·次。被征收人选择货币补偿的，发放一次搬迁费。</w:t>
      </w:r>
    </w:p>
    <w:p w14:paraId="58A22469">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对于可恢复使用的设备由被征收人处置，按附表五标准给予一次性补偿，分户评估的不再适用本条款；对于因搬迁丧失使用功能的大型机器设备，由被征收人提出申请，由项目指挥部牵头，经征收实施单位、发改、审计、财政五方现场核实后，由具有相应资质的评估公司进行评估，根据评估结果进行补偿。</w:t>
      </w:r>
    </w:p>
    <w:p w14:paraId="5169594A">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一</w:t>
      </w:r>
      <w:r>
        <w:rPr>
          <w:rFonts w:hint="eastAsia" w:ascii="Times New Roman" w:hAnsi="Times New Roman" w:eastAsia="方正仿宋简体" w:cs="方正仿宋简体"/>
          <w:b/>
          <w:bCs/>
          <w:color w:val="auto"/>
          <w:spacing w:val="0"/>
          <w:sz w:val="32"/>
          <w:szCs w:val="32"/>
          <w:highlight w:val="none"/>
        </w:rPr>
        <w:t>条 住宅临时安置费</w:t>
      </w:r>
    </w:p>
    <w:p w14:paraId="30B9F0AC">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（一）过渡方式</w:t>
      </w:r>
    </w:p>
    <w:p w14:paraId="3C0D8A02">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本项目采用自行过渡方式。</w:t>
      </w:r>
    </w:p>
    <w:p w14:paraId="00A922CE">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（二）过渡期限</w:t>
      </w:r>
    </w:p>
    <w:p w14:paraId="119F2581">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过渡期限为36个月。被征收人在签约期限内签订协议并按时搬迁的，过渡期限自签约期限结束之日起计算；超过签约期限签订协议搬迁的，过渡期限自搬迁之日起开始计算。</w:t>
      </w:r>
    </w:p>
    <w:p w14:paraId="5D13E431">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（三）临时安置费</w:t>
      </w:r>
    </w:p>
    <w:p w14:paraId="0AF5FAB6">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临时安置费按经被征收房屋认定可补偿面积以8元/㎡·月计算，每户保底1200元/月。</w:t>
      </w:r>
    </w:p>
    <w:p w14:paraId="1963999E">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选择货币补偿或现房产权调换的，一次性给予6个月的临时安置费。</w:t>
      </w:r>
    </w:p>
    <w:p w14:paraId="1B35FC4C">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选择产权调换的，临时安置费自被征收人签订协议并按时搬迁之日起，发放至房屋征收部门通知交房之日止。除不可抗力外，</w:t>
      </w:r>
      <w:r>
        <w:rPr>
          <w:rFonts w:hint="eastAsia" w:ascii="Times New Roman" w:hAnsi="Times New Roman" w:eastAsia="方正仿宋简体" w:cs="方正仿宋简体"/>
          <w:color w:val="auto"/>
          <w:spacing w:val="0"/>
          <w:sz w:val="32"/>
          <w:szCs w:val="32"/>
          <w:highlight w:val="none"/>
          <w:lang w:val="en-US" w:eastAsia="zh-CN"/>
        </w:rPr>
        <w:t>安置房</w:t>
      </w:r>
      <w:r>
        <w:rPr>
          <w:rFonts w:hint="eastAsia" w:ascii="Times New Roman" w:hAnsi="Times New Roman" w:eastAsia="方正仿宋简体" w:cs="方正仿宋简体"/>
          <w:color w:val="auto"/>
          <w:spacing w:val="0"/>
          <w:sz w:val="32"/>
          <w:szCs w:val="32"/>
          <w:highlight w:val="none"/>
        </w:rPr>
        <w:t>超过过渡期限未交付使用，从逾期之月起向自行过渡的被征收人支付双倍临时安置费。享受保底临时安置费的被征收人遇逾期安置时，若按其认定可补偿面积双倍计算临时安置费超过保底标准的，按认定可补偿面积重新核算，不超过保底标准的仍按原保底标准执行，不予双倍支付。</w:t>
      </w:r>
    </w:p>
    <w:p w14:paraId="4AF4A227">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二</w:t>
      </w:r>
      <w:r>
        <w:rPr>
          <w:rFonts w:hint="eastAsia" w:ascii="Times New Roman" w:hAnsi="Times New Roman" w:eastAsia="方正仿宋简体" w:cs="方正仿宋简体"/>
          <w:b/>
          <w:bCs/>
          <w:color w:val="auto"/>
          <w:spacing w:val="0"/>
          <w:sz w:val="32"/>
          <w:szCs w:val="32"/>
          <w:highlight w:val="none"/>
        </w:rPr>
        <w:t>条 企业厂房、仓库及其他配套用房停产停业损失补偿</w:t>
      </w:r>
    </w:p>
    <w:p w14:paraId="7D3243B9">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因征收房屋造成停产停业的，一次性给予6个月的补偿，被征收人可选择以下标准之一进行补偿：</w:t>
      </w:r>
    </w:p>
    <w:p w14:paraId="1FCEDC93">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一）根据经营者近3年平均净利润确定，不足3年的以全部生产经营期间平均净利润确定。净利润根据税务部门的税后利润额证明材料确定；税务部门无法出具证明的，根据具备相应资质的会计师事务所出具的企业年度审计报告确定。</w:t>
      </w:r>
    </w:p>
    <w:p w14:paraId="35260AF4">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（二）按经认定可补偿的建筑面积计算，标准为18元/㎡·月计算。</w:t>
      </w:r>
    </w:p>
    <w:p w14:paraId="5F22BBA8">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before="313" w:beforeLines="100" w:after="313" w:afterLines="100" w:line="530" w:lineRule="exact"/>
        <w:jc w:val="center"/>
        <w:textAlignment w:val="baseline"/>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rPr>
        <w:t>第七部分  补偿决定</w:t>
      </w:r>
    </w:p>
    <w:p w14:paraId="28E8BA2E">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三</w:t>
      </w:r>
      <w:r>
        <w:rPr>
          <w:rFonts w:hint="eastAsia" w:ascii="Times New Roman" w:hAnsi="Times New Roman" w:eastAsia="方正仿宋简体" w:cs="方正仿宋简体"/>
          <w:b/>
          <w:bCs/>
          <w:color w:val="auto"/>
          <w:spacing w:val="0"/>
          <w:sz w:val="32"/>
          <w:szCs w:val="32"/>
          <w:highlight w:val="none"/>
        </w:rPr>
        <w:t>条 补偿决定</w:t>
      </w:r>
    </w:p>
    <w:p w14:paraId="62EDF07C">
      <w:pPr>
        <w:keepNext w:val="0"/>
        <w:keepLines w:val="0"/>
        <w:pageBreakBefore w:val="0"/>
        <w:widowControl w:val="0"/>
        <w:tabs>
          <w:tab w:val="center" w:pos="4252"/>
          <w:tab w:val="right" w:pos="8504"/>
        </w:tabs>
        <w:kinsoku/>
        <w:overflowPunct w:val="0"/>
        <w:topLinePunct w:val="0"/>
        <w:bidi w:val="0"/>
        <w:adjustRightInd w:val="0"/>
        <w:snapToGrid w:val="0"/>
        <w:spacing w:line="53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房屋征收部门与被征收人在房屋征收决定规定的签约期限内达不成补偿协议，或者被征收房屋所有权人不明确的，由房屋征收部门报请作出房屋征收决定的泉州市鲤城区人民政府按照征收补偿方案及房地产价格评估机构出具的评估结果作出补偿决定，并在房屋征收范围内予以公告。</w:t>
      </w:r>
    </w:p>
    <w:p w14:paraId="37B2EB73">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被</w:t>
      </w:r>
      <w:r>
        <w:rPr>
          <w:rFonts w:hint="eastAsia" w:ascii="Times New Roman" w:hAnsi="Times New Roman" w:eastAsia="方正仿宋简体" w:cs="方正仿宋简体"/>
          <w:color w:val="auto"/>
          <w:spacing w:val="-6"/>
          <w:sz w:val="32"/>
          <w:szCs w:val="32"/>
          <w:highlight w:val="none"/>
        </w:rPr>
        <w:t>征收人对补偿决定不服的，可以依法申请行政复议，也可以依法提起行政诉讼。被征收人在法定期限内不申请行政复议或者不提起行政诉讼，在补偿决定规定的期限内又不搬迁的，由作出补偿</w:t>
      </w:r>
      <w:r>
        <w:rPr>
          <w:rFonts w:hint="eastAsia" w:ascii="Times New Roman" w:hAnsi="Times New Roman" w:eastAsia="方正仿宋简体" w:cs="方正仿宋简体"/>
          <w:color w:val="auto"/>
          <w:spacing w:val="0"/>
          <w:sz w:val="32"/>
          <w:szCs w:val="32"/>
          <w:highlight w:val="none"/>
        </w:rPr>
        <w:t>决定的泉州市鲤城区人民政府依法向人民法院申请强制执行。</w:t>
      </w:r>
    </w:p>
    <w:p w14:paraId="1A6BE610">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凡被实施强制征收的房屋，不再适用本方案规定的优惠奖励办法。</w:t>
      </w:r>
    </w:p>
    <w:p w14:paraId="56C61232">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before="313" w:beforeLines="100" w:after="313" w:afterLines="100" w:line="560" w:lineRule="exact"/>
        <w:jc w:val="center"/>
        <w:textAlignment w:val="baseline"/>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rPr>
        <w:t>第八部分  附 则</w:t>
      </w:r>
    </w:p>
    <w:p w14:paraId="4A0D9E2F">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四</w:t>
      </w:r>
      <w:r>
        <w:rPr>
          <w:rFonts w:hint="eastAsia" w:ascii="Times New Roman" w:hAnsi="Times New Roman" w:eastAsia="方正仿宋简体" w:cs="方正仿宋简体"/>
          <w:b/>
          <w:bCs/>
          <w:color w:val="auto"/>
          <w:spacing w:val="0"/>
          <w:sz w:val="32"/>
          <w:szCs w:val="32"/>
          <w:highlight w:val="none"/>
        </w:rPr>
        <w:t>条 适用范围</w:t>
      </w:r>
    </w:p>
    <w:p w14:paraId="63D8B486">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本方案仅适用于</w:t>
      </w:r>
      <w:r>
        <w:rPr>
          <w:rFonts w:hint="eastAsia" w:eastAsia="方正仿宋简体" w:cs="方正仿宋简体"/>
          <w:color w:val="auto"/>
          <w:spacing w:val="0"/>
          <w:sz w:val="32"/>
          <w:szCs w:val="32"/>
          <w:highlight w:val="none"/>
          <w:u w:val="none"/>
          <w:lang w:eastAsia="zh-CN"/>
        </w:rPr>
        <w:t>仙岩路（常泰路-站前大道）市政道路项目</w:t>
      </w:r>
      <w:r>
        <w:rPr>
          <w:rFonts w:hint="eastAsia" w:ascii="Times New Roman" w:hAnsi="Times New Roman" w:eastAsia="方正仿宋简体" w:cs="方正仿宋简体"/>
          <w:color w:val="auto"/>
          <w:spacing w:val="0"/>
          <w:sz w:val="32"/>
          <w:szCs w:val="32"/>
          <w:highlight w:val="none"/>
        </w:rPr>
        <w:t>征收范围内国有土地上房屋的征收补偿安置。</w:t>
      </w:r>
    </w:p>
    <w:p w14:paraId="6A6A0915">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五</w:t>
      </w:r>
      <w:r>
        <w:rPr>
          <w:rFonts w:hint="eastAsia" w:ascii="Times New Roman" w:hAnsi="Times New Roman" w:eastAsia="方正仿宋简体" w:cs="方正仿宋简体"/>
          <w:b/>
          <w:bCs/>
          <w:color w:val="auto"/>
          <w:spacing w:val="0"/>
          <w:sz w:val="32"/>
          <w:szCs w:val="32"/>
          <w:highlight w:val="none"/>
        </w:rPr>
        <w:t>条 违法、违章建筑</w:t>
      </w:r>
    </w:p>
    <w:p w14:paraId="2E2FC1D7">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（一）对认定为违法违章建筑和超过批准期限的临时建筑一律不予赔偿。</w:t>
      </w:r>
    </w:p>
    <w:p w14:paraId="2A684C00">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（二）本项目自征收范围发布之后抢建的房屋，一律不予赔偿，并强制拆除。</w:t>
      </w:r>
    </w:p>
    <w:p w14:paraId="6B743F19">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0"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color w:val="auto"/>
          <w:spacing w:val="0"/>
          <w:sz w:val="32"/>
          <w:szCs w:val="32"/>
          <w:highlight w:val="none"/>
        </w:rPr>
        <w:t>（三）违章建筑的认定，以地形图、遥感图和相关文件等为主要依据。</w:t>
      </w:r>
    </w:p>
    <w:p w14:paraId="23FC65A7">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六</w:t>
      </w:r>
      <w:r>
        <w:rPr>
          <w:rFonts w:hint="eastAsia" w:ascii="Times New Roman" w:hAnsi="Times New Roman" w:eastAsia="方正仿宋简体" w:cs="方正仿宋简体"/>
          <w:b/>
          <w:bCs/>
          <w:color w:val="auto"/>
          <w:spacing w:val="0"/>
          <w:sz w:val="32"/>
          <w:szCs w:val="32"/>
          <w:highlight w:val="none"/>
        </w:rPr>
        <w:t>条</w:t>
      </w:r>
      <w:r>
        <w:rPr>
          <w:rFonts w:hint="eastAsia" w:ascii="Times New Roman" w:hAnsi="Times New Roman" w:eastAsia="方正仿宋简体" w:cs="方正仿宋简体"/>
          <w:color w:val="auto"/>
          <w:spacing w:val="0"/>
          <w:sz w:val="32"/>
          <w:szCs w:val="32"/>
          <w:highlight w:val="none"/>
        </w:rPr>
        <w:t xml:space="preserve"> 社区集体公产，按本实施方案规定标准补偿安置，权益归社区集体所有。</w:t>
      </w:r>
    </w:p>
    <w:p w14:paraId="28E5A941">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b/>
          <w:bCs/>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第二十</w:t>
      </w:r>
      <w:r>
        <w:rPr>
          <w:rFonts w:hint="eastAsia" w:ascii="Times New Roman" w:hAnsi="Times New Roman" w:eastAsia="方正仿宋简体" w:cs="方正仿宋简体"/>
          <w:b/>
          <w:bCs/>
          <w:color w:val="auto"/>
          <w:spacing w:val="0"/>
          <w:sz w:val="32"/>
          <w:szCs w:val="32"/>
          <w:highlight w:val="none"/>
          <w:lang w:val="en-US" w:eastAsia="zh-CN"/>
        </w:rPr>
        <w:t>七</w:t>
      </w:r>
      <w:r>
        <w:rPr>
          <w:rFonts w:hint="eastAsia" w:ascii="Times New Roman" w:hAnsi="Times New Roman" w:eastAsia="方正仿宋简体" w:cs="方正仿宋简体"/>
          <w:b/>
          <w:bCs/>
          <w:color w:val="auto"/>
          <w:spacing w:val="0"/>
          <w:sz w:val="32"/>
          <w:szCs w:val="32"/>
          <w:highlight w:val="none"/>
        </w:rPr>
        <w:t>条</w:t>
      </w:r>
      <w:r>
        <w:rPr>
          <w:rFonts w:hint="eastAsia" w:ascii="Times New Roman" w:hAnsi="Times New Roman" w:eastAsia="方正仿宋简体" w:cs="方正仿宋简体"/>
          <w:color w:val="auto"/>
          <w:spacing w:val="0"/>
          <w:sz w:val="32"/>
          <w:szCs w:val="32"/>
          <w:highlight w:val="none"/>
        </w:rPr>
        <w:t xml:space="preserve"> 本方案自征收决定公告发布之日起实施，未尽事宜按相关法律、法规的规定执行。</w:t>
      </w:r>
    </w:p>
    <w:p w14:paraId="591D66E5">
      <w:pPr>
        <w:keepNext w:val="0"/>
        <w:keepLines w:val="0"/>
        <w:pageBreakBefore w:val="0"/>
        <w:widowControl w:val="0"/>
        <w:tabs>
          <w:tab w:val="center" w:pos="4252"/>
          <w:tab w:val="right" w:pos="8504"/>
        </w:tabs>
        <w:kinsoku/>
        <w:wordWrap/>
        <w:overflowPunct w:val="0"/>
        <w:topLinePunct w:val="0"/>
        <w:autoSpaceDE/>
        <w:autoSpaceDN/>
        <w:bidi w:val="0"/>
        <w:adjustRightInd w:val="0"/>
        <w:snapToGrid w:val="0"/>
        <w:spacing w:line="560" w:lineRule="exact"/>
        <w:ind w:firstLine="643" w:firstLineChars="200"/>
        <w:jc w:val="both"/>
        <w:textAlignment w:val="baseline"/>
        <w:rPr>
          <w:rFonts w:ascii="Times New Roman" w:hAnsi="Times New Roman" w:eastAsia="方正仿宋简体" w:cs="方正仿宋简体"/>
          <w:color w:val="auto"/>
          <w:spacing w:val="0"/>
          <w:sz w:val="32"/>
          <w:szCs w:val="32"/>
          <w:highlight w:val="none"/>
        </w:rPr>
      </w:pPr>
      <w:r>
        <w:rPr>
          <w:rFonts w:hint="eastAsia" w:ascii="Times New Roman" w:hAnsi="Times New Roman" w:eastAsia="方正仿宋简体" w:cs="方正仿宋简体"/>
          <w:b/>
          <w:bCs/>
          <w:color w:val="auto"/>
          <w:spacing w:val="0"/>
          <w:sz w:val="32"/>
          <w:szCs w:val="32"/>
          <w:highlight w:val="none"/>
        </w:rPr>
        <w:t>第</w:t>
      </w:r>
      <w:r>
        <w:rPr>
          <w:rFonts w:hint="eastAsia" w:ascii="Times New Roman" w:hAnsi="Times New Roman" w:eastAsia="方正仿宋简体" w:cs="方正仿宋简体"/>
          <w:b/>
          <w:bCs/>
          <w:color w:val="auto"/>
          <w:spacing w:val="-11"/>
          <w:sz w:val="32"/>
          <w:szCs w:val="32"/>
          <w:highlight w:val="none"/>
        </w:rPr>
        <w:t>二十</w:t>
      </w:r>
      <w:r>
        <w:rPr>
          <w:rFonts w:hint="eastAsia" w:ascii="Times New Roman" w:hAnsi="Times New Roman" w:eastAsia="方正仿宋简体" w:cs="方正仿宋简体"/>
          <w:b/>
          <w:bCs/>
          <w:color w:val="auto"/>
          <w:spacing w:val="-11"/>
          <w:sz w:val="32"/>
          <w:szCs w:val="32"/>
          <w:highlight w:val="none"/>
          <w:lang w:val="en-US" w:eastAsia="zh-CN"/>
        </w:rPr>
        <w:t>八</w:t>
      </w:r>
      <w:r>
        <w:rPr>
          <w:rFonts w:hint="eastAsia" w:ascii="Times New Roman" w:hAnsi="Times New Roman" w:eastAsia="方正仿宋简体" w:cs="方正仿宋简体"/>
          <w:b/>
          <w:bCs/>
          <w:color w:val="auto"/>
          <w:spacing w:val="-11"/>
          <w:sz w:val="32"/>
          <w:szCs w:val="32"/>
          <w:highlight w:val="none"/>
        </w:rPr>
        <w:t>条</w:t>
      </w:r>
      <w:r>
        <w:rPr>
          <w:rFonts w:hint="eastAsia" w:ascii="Times New Roman" w:hAnsi="Times New Roman" w:eastAsia="方正仿宋简体" w:cs="方正仿宋简体"/>
          <w:color w:val="auto"/>
          <w:spacing w:val="-11"/>
          <w:sz w:val="32"/>
          <w:szCs w:val="32"/>
          <w:highlight w:val="none"/>
        </w:rPr>
        <w:t xml:space="preserve"> 本方案解释权归泉州市鲤城区住房和城乡建设局。</w:t>
      </w:r>
    </w:p>
    <w:p w14:paraId="5EBCE155">
      <w:pPr>
        <w:pStyle w:val="5"/>
        <w:keepNext w:val="0"/>
        <w:keepLines w:val="0"/>
        <w:pageBreakBefore w:val="0"/>
        <w:widowControl w:val="0"/>
        <w:wordWrap w:val="0"/>
        <w:topLinePunct w:val="0"/>
        <w:autoSpaceDE w:val="0"/>
        <w:autoSpaceDN w:val="0"/>
        <w:bidi w:val="0"/>
        <w:spacing w:line="600" w:lineRule="exact"/>
        <w:ind w:firstLine="640" w:firstLineChars="200"/>
        <w:jc w:val="left"/>
        <w:rPr>
          <w:rFonts w:ascii="Times New Roman" w:hAnsi="Times New Roman" w:eastAsia="方正仿宋简体" w:cs="方正仿宋简体"/>
          <w:color w:val="auto"/>
          <w:spacing w:val="0"/>
          <w:sz w:val="32"/>
          <w:szCs w:val="32"/>
          <w:highlight w:val="none"/>
        </w:rPr>
        <w:sectPr>
          <w:footerReference r:id="rId5" w:type="default"/>
          <w:pgSz w:w="11906" w:h="16838"/>
          <w:pgMar w:top="1928" w:right="1474" w:bottom="1701"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8E8FC51">
      <w:pPr>
        <w:keepNext w:val="0"/>
        <w:keepLines w:val="0"/>
        <w:pageBreakBefore w:val="0"/>
        <w:widowControl w:val="0"/>
        <w:topLinePunct w:val="0"/>
        <w:bidi w:val="0"/>
        <w:spacing w:line="590" w:lineRule="exact"/>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附表一</w:t>
      </w:r>
    </w:p>
    <w:p w14:paraId="61CE4DE3">
      <w:pPr>
        <w:keepNext w:val="0"/>
        <w:keepLines w:val="0"/>
        <w:pageBreakBefore w:val="0"/>
        <w:widowControl w:val="0"/>
        <w:topLinePunct w:val="0"/>
        <w:bidi w:val="0"/>
        <w:spacing w:line="590" w:lineRule="exact"/>
        <w:jc w:val="center"/>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被征收住宅补偿单价表</w:t>
      </w:r>
    </w:p>
    <w:p w14:paraId="7AD99A6B">
      <w:pPr>
        <w:keepNext w:val="0"/>
        <w:keepLines w:val="0"/>
        <w:pageBreakBefore w:val="0"/>
        <w:widowControl w:val="0"/>
        <w:topLinePunct w:val="0"/>
        <w:bidi w:val="0"/>
        <w:spacing w:line="590" w:lineRule="exact"/>
        <w:jc w:val="right"/>
        <w:rPr>
          <w:rFonts w:ascii="Times New Roman" w:hAnsi="Times New Roman" w:eastAsia="方正仿宋简体"/>
          <w:color w:val="auto"/>
          <w:sz w:val="32"/>
          <w:szCs w:val="32"/>
          <w:highlight w:val="none"/>
        </w:rPr>
      </w:pPr>
      <w:r>
        <w:rPr>
          <w:rFonts w:hint="eastAsia" w:ascii="Times New Roman" w:hAnsi="Times New Roman" w:eastAsia="方正仿宋简体"/>
          <w:color w:val="auto"/>
          <w:sz w:val="32"/>
          <w:szCs w:val="32"/>
          <w:highlight w:val="none"/>
        </w:rPr>
        <w:t>单位：元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w:t>
      </w:r>
    </w:p>
    <w:tbl>
      <w:tblPr>
        <w:tblStyle w:val="9"/>
        <w:tblW w:w="9005" w:type="dxa"/>
        <w:jc w:val="center"/>
        <w:tblLayout w:type="fixed"/>
        <w:tblCellMar>
          <w:top w:w="0" w:type="dxa"/>
          <w:left w:w="108" w:type="dxa"/>
          <w:bottom w:w="0" w:type="dxa"/>
          <w:right w:w="108" w:type="dxa"/>
        </w:tblCellMar>
      </w:tblPr>
      <w:tblGrid>
        <w:gridCol w:w="2165"/>
        <w:gridCol w:w="1260"/>
        <w:gridCol w:w="1440"/>
        <w:gridCol w:w="1440"/>
        <w:gridCol w:w="1260"/>
        <w:gridCol w:w="1440"/>
      </w:tblGrid>
      <w:tr w14:paraId="1579DC3E">
        <w:tblPrEx>
          <w:tblCellMar>
            <w:top w:w="0" w:type="dxa"/>
            <w:left w:w="108" w:type="dxa"/>
            <w:bottom w:w="0" w:type="dxa"/>
            <w:right w:w="108" w:type="dxa"/>
          </w:tblCellMar>
        </w:tblPrEx>
        <w:trPr>
          <w:trHeight w:val="1134" w:hRule="atLeast"/>
          <w:jc w:val="center"/>
        </w:trPr>
        <w:tc>
          <w:tcPr>
            <w:tcW w:w="2165" w:type="dxa"/>
            <w:tcBorders>
              <w:top w:val="single" w:color="auto" w:sz="4" w:space="0"/>
              <w:left w:val="single" w:color="auto" w:sz="4" w:space="0"/>
              <w:bottom w:val="single" w:color="auto" w:sz="4" w:space="0"/>
              <w:right w:val="single" w:color="auto" w:sz="4" w:space="0"/>
            </w:tcBorders>
            <w:noWrap/>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D72F541">
            <w:pPr>
              <w:pStyle w:val="5"/>
              <w:keepNext w:val="0"/>
              <w:keepLines w:val="0"/>
              <w:pageBreakBefore w:val="0"/>
              <w:widowControl w:val="0"/>
              <w:topLinePunct w:val="0"/>
              <w:bidi w:val="0"/>
              <w:snapToGrid w:val="0"/>
              <w:spacing w:line="240" w:lineRule="auto"/>
              <w:rPr>
                <w:rFonts w:hint="eastAsia" w:ascii="Times New Roman" w:hAnsi="Times New Roman" w:eastAsia="方正仿宋简体" w:cs="方正仿宋简体"/>
                <w:b/>
                <w:bCs/>
                <w:color w:val="auto"/>
                <w:sz w:val="32"/>
                <w:szCs w:val="32"/>
                <w:highlight w:val="none"/>
                <w:lang w:eastAsia="zh-CN"/>
              </w:rPr>
            </w:pPr>
          </w:p>
          <w:p w14:paraId="106FB90C">
            <w:pPr>
              <w:pStyle w:val="5"/>
              <w:keepNext w:val="0"/>
              <w:keepLines w:val="0"/>
              <w:pageBreakBefore w:val="0"/>
              <w:widowControl w:val="0"/>
              <w:topLinePunct w:val="0"/>
              <w:bidi w:val="0"/>
              <w:snapToGrid w:val="0"/>
              <w:spacing w:line="240" w:lineRule="auto"/>
              <mc:AlternateContent>
                <mc:Choice Requires="wpsCustomData">
                  <wpsCustomData:diagonalParaType/>
                </mc:Choice>
              </mc:AlternateContent>
              <w:rPr>
                <w:rFonts w:hint="eastAsia" w:ascii="Times New Roman" w:hAnsi="Times New Roman" w:eastAsia="方正仿宋简体" w:cs="方正仿宋简体"/>
                <w:b/>
                <w:bCs/>
                <w:color w:val="auto"/>
                <w:sz w:val="32"/>
                <w:szCs w:val="32"/>
                <w:highlight w:val="none"/>
                <w:lang w:eastAsia="zh-CN"/>
              </w:rPr>
            </w:pPr>
            <w:r>
              <w:rPr>
                <w:rFonts w:hint="eastAsia" w:ascii="Times New Roman" w:hAnsi="Times New Roman" w:eastAsia="方正仿宋简体" w:cs="方正仿宋简体"/>
                <w:b/>
                <w:bCs/>
                <w:color w:val="auto"/>
                <w:sz w:val="32"/>
                <w:szCs w:val="32"/>
                <w:highlight w:val="none"/>
                <w:lang w:eastAsia="zh-CN"/>
              </w:rPr>
              <w:t>结构</w:t>
            </w:r>
          </w:p>
          <w:p w14:paraId="201CD900">
            <w:pPr>
              <w:pStyle w:val="5"/>
              <w:keepNext w:val="0"/>
              <w:keepLines w:val="0"/>
              <w:pageBreakBefore w:val="0"/>
              <w:widowControl w:val="0"/>
              <w:topLinePunct w:val="0"/>
              <w:bidi w:val="0"/>
              <w:ind w:firstLine="321" w:firstLineChars="100"/>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层数</w:t>
            </w:r>
          </w:p>
        </w:tc>
        <w:tc>
          <w:tcPr>
            <w:tcW w:w="1260" w:type="dxa"/>
            <w:tcBorders>
              <w:top w:val="single" w:color="auto" w:sz="4" w:space="0"/>
              <w:left w:val="single" w:color="auto" w:sz="4" w:space="0"/>
              <w:bottom w:val="single" w:color="auto" w:sz="4" w:space="0"/>
              <w:right w:val="single" w:color="auto" w:sz="4" w:space="0"/>
            </w:tcBorders>
            <w:noWrap/>
            <w:vAlign w:val="center"/>
          </w:tcPr>
          <w:p w14:paraId="495432AE">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总一层</w:t>
            </w:r>
          </w:p>
        </w:tc>
        <w:tc>
          <w:tcPr>
            <w:tcW w:w="1440" w:type="dxa"/>
            <w:tcBorders>
              <w:top w:val="single" w:color="auto" w:sz="4" w:space="0"/>
              <w:left w:val="nil"/>
              <w:bottom w:val="single" w:color="auto" w:sz="4" w:space="0"/>
              <w:right w:val="single" w:color="auto" w:sz="4" w:space="0"/>
            </w:tcBorders>
            <w:noWrap/>
            <w:vAlign w:val="center"/>
          </w:tcPr>
          <w:p w14:paraId="305B53FD">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总二层</w:t>
            </w:r>
          </w:p>
        </w:tc>
        <w:tc>
          <w:tcPr>
            <w:tcW w:w="1440" w:type="dxa"/>
            <w:tcBorders>
              <w:top w:val="single" w:color="auto" w:sz="4" w:space="0"/>
              <w:left w:val="nil"/>
              <w:bottom w:val="single" w:color="auto" w:sz="4" w:space="0"/>
              <w:right w:val="single" w:color="auto" w:sz="4" w:space="0"/>
            </w:tcBorders>
            <w:noWrap/>
            <w:vAlign w:val="center"/>
          </w:tcPr>
          <w:p w14:paraId="17CBF2FC">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总三层</w:t>
            </w:r>
          </w:p>
        </w:tc>
        <w:tc>
          <w:tcPr>
            <w:tcW w:w="1260" w:type="dxa"/>
            <w:tcBorders>
              <w:top w:val="single" w:color="auto" w:sz="4" w:space="0"/>
              <w:left w:val="nil"/>
              <w:bottom w:val="single" w:color="auto" w:sz="4" w:space="0"/>
              <w:right w:val="single" w:color="auto" w:sz="4" w:space="0"/>
            </w:tcBorders>
            <w:noWrap/>
            <w:vAlign w:val="center"/>
          </w:tcPr>
          <w:p w14:paraId="44F2A2F1">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总四层</w:t>
            </w:r>
          </w:p>
        </w:tc>
        <w:tc>
          <w:tcPr>
            <w:tcW w:w="1440" w:type="dxa"/>
            <w:tcBorders>
              <w:top w:val="single" w:color="auto" w:sz="4" w:space="0"/>
              <w:left w:val="nil"/>
              <w:bottom w:val="single" w:color="auto" w:sz="4" w:space="0"/>
              <w:right w:val="single" w:color="auto" w:sz="4" w:space="0"/>
            </w:tcBorders>
            <w:noWrap/>
            <w:vAlign w:val="center"/>
          </w:tcPr>
          <w:p w14:paraId="5EB6309D">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总五层</w:t>
            </w:r>
          </w:p>
          <w:p w14:paraId="29A5E91B">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及以上</w:t>
            </w:r>
          </w:p>
        </w:tc>
      </w:tr>
      <w:tr w14:paraId="77D2C0BB">
        <w:tblPrEx>
          <w:tblCellMar>
            <w:top w:w="0" w:type="dxa"/>
            <w:left w:w="108" w:type="dxa"/>
            <w:bottom w:w="0" w:type="dxa"/>
            <w:right w:w="108" w:type="dxa"/>
          </w:tblCellMar>
        </w:tblPrEx>
        <w:trPr>
          <w:trHeight w:val="1134" w:hRule="exact"/>
          <w:jc w:val="center"/>
        </w:trPr>
        <w:tc>
          <w:tcPr>
            <w:tcW w:w="2165" w:type="dxa"/>
            <w:tcBorders>
              <w:top w:val="single" w:color="auto" w:sz="4" w:space="0"/>
              <w:left w:val="single" w:color="auto" w:sz="4" w:space="0"/>
              <w:bottom w:val="single" w:color="auto" w:sz="4" w:space="0"/>
              <w:right w:val="single" w:color="auto" w:sz="4" w:space="0"/>
            </w:tcBorders>
            <w:noWrap/>
            <w:vAlign w:val="center"/>
          </w:tcPr>
          <w:p w14:paraId="30C1E35A">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框架</w:t>
            </w:r>
          </w:p>
        </w:tc>
        <w:tc>
          <w:tcPr>
            <w:tcW w:w="1260" w:type="dxa"/>
            <w:tcBorders>
              <w:top w:val="nil"/>
              <w:left w:val="nil"/>
              <w:bottom w:val="single" w:color="auto" w:sz="4" w:space="0"/>
              <w:right w:val="single" w:color="auto" w:sz="4" w:space="0"/>
            </w:tcBorders>
            <w:noWrap/>
            <w:vAlign w:val="center"/>
          </w:tcPr>
          <w:p w14:paraId="0FE8325B">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7085</w:t>
            </w:r>
          </w:p>
        </w:tc>
        <w:tc>
          <w:tcPr>
            <w:tcW w:w="1440" w:type="dxa"/>
            <w:tcBorders>
              <w:top w:val="nil"/>
              <w:left w:val="nil"/>
              <w:bottom w:val="single" w:color="auto" w:sz="4" w:space="0"/>
              <w:right w:val="single" w:color="auto" w:sz="4" w:space="0"/>
            </w:tcBorders>
            <w:noWrap/>
            <w:vAlign w:val="center"/>
          </w:tcPr>
          <w:p w14:paraId="258267B0">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5995</w:t>
            </w:r>
          </w:p>
        </w:tc>
        <w:tc>
          <w:tcPr>
            <w:tcW w:w="1440" w:type="dxa"/>
            <w:tcBorders>
              <w:top w:val="nil"/>
              <w:left w:val="nil"/>
              <w:bottom w:val="single" w:color="auto" w:sz="4" w:space="0"/>
              <w:right w:val="single" w:color="auto" w:sz="4" w:space="0"/>
            </w:tcBorders>
            <w:noWrap/>
            <w:vAlign w:val="center"/>
          </w:tcPr>
          <w:p w14:paraId="61A5964C">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5450</w:t>
            </w:r>
          </w:p>
        </w:tc>
        <w:tc>
          <w:tcPr>
            <w:tcW w:w="1260" w:type="dxa"/>
            <w:tcBorders>
              <w:top w:val="nil"/>
              <w:left w:val="nil"/>
              <w:bottom w:val="single" w:color="auto" w:sz="4" w:space="0"/>
              <w:right w:val="single" w:color="auto" w:sz="4" w:space="0"/>
            </w:tcBorders>
            <w:noWrap/>
            <w:vAlign w:val="center"/>
          </w:tcPr>
          <w:p w14:paraId="2D09AFA8">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4905</w:t>
            </w:r>
          </w:p>
        </w:tc>
        <w:tc>
          <w:tcPr>
            <w:tcW w:w="1440" w:type="dxa"/>
            <w:tcBorders>
              <w:top w:val="nil"/>
              <w:left w:val="nil"/>
              <w:bottom w:val="single" w:color="auto" w:sz="4" w:space="0"/>
              <w:right w:val="single" w:color="auto" w:sz="4" w:space="0"/>
            </w:tcBorders>
            <w:noWrap/>
            <w:vAlign w:val="center"/>
          </w:tcPr>
          <w:p w14:paraId="21C50091">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4360</w:t>
            </w:r>
          </w:p>
        </w:tc>
      </w:tr>
      <w:tr w14:paraId="7E301AF0">
        <w:tblPrEx>
          <w:tblCellMar>
            <w:top w:w="0" w:type="dxa"/>
            <w:left w:w="108" w:type="dxa"/>
            <w:bottom w:w="0" w:type="dxa"/>
            <w:right w:w="108" w:type="dxa"/>
          </w:tblCellMar>
        </w:tblPrEx>
        <w:trPr>
          <w:trHeight w:val="1134" w:hRule="exact"/>
          <w:jc w:val="center"/>
        </w:trPr>
        <w:tc>
          <w:tcPr>
            <w:tcW w:w="2165" w:type="dxa"/>
            <w:tcBorders>
              <w:top w:val="nil"/>
              <w:left w:val="single" w:color="auto" w:sz="4" w:space="0"/>
              <w:bottom w:val="single" w:color="auto" w:sz="4" w:space="0"/>
              <w:right w:val="single" w:color="auto" w:sz="4" w:space="0"/>
            </w:tcBorders>
            <w:noWrap/>
            <w:vAlign w:val="center"/>
          </w:tcPr>
          <w:p w14:paraId="057A7E34">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砖混石混</w:t>
            </w:r>
          </w:p>
        </w:tc>
        <w:tc>
          <w:tcPr>
            <w:tcW w:w="1260" w:type="dxa"/>
            <w:tcBorders>
              <w:top w:val="nil"/>
              <w:left w:val="nil"/>
              <w:bottom w:val="single" w:color="auto" w:sz="4" w:space="0"/>
              <w:right w:val="single" w:color="auto" w:sz="4" w:space="0"/>
            </w:tcBorders>
            <w:noWrap/>
            <w:vAlign w:val="center"/>
          </w:tcPr>
          <w:p w14:paraId="0BE33C21">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6955</w:t>
            </w:r>
          </w:p>
        </w:tc>
        <w:tc>
          <w:tcPr>
            <w:tcW w:w="1440" w:type="dxa"/>
            <w:tcBorders>
              <w:top w:val="nil"/>
              <w:left w:val="nil"/>
              <w:bottom w:val="single" w:color="auto" w:sz="4" w:space="0"/>
              <w:right w:val="single" w:color="auto" w:sz="4" w:space="0"/>
            </w:tcBorders>
            <w:noWrap/>
            <w:vAlign w:val="center"/>
          </w:tcPr>
          <w:p w14:paraId="43324A82">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5885</w:t>
            </w:r>
          </w:p>
        </w:tc>
        <w:tc>
          <w:tcPr>
            <w:tcW w:w="1440" w:type="dxa"/>
            <w:tcBorders>
              <w:top w:val="nil"/>
              <w:left w:val="nil"/>
              <w:bottom w:val="single" w:color="auto" w:sz="4" w:space="0"/>
              <w:right w:val="single" w:color="auto" w:sz="4" w:space="0"/>
            </w:tcBorders>
            <w:noWrap/>
            <w:vAlign w:val="center"/>
          </w:tcPr>
          <w:p w14:paraId="3E1ACAF4">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5350</w:t>
            </w:r>
          </w:p>
        </w:tc>
        <w:tc>
          <w:tcPr>
            <w:tcW w:w="1260" w:type="dxa"/>
            <w:tcBorders>
              <w:top w:val="nil"/>
              <w:left w:val="nil"/>
              <w:bottom w:val="single" w:color="auto" w:sz="4" w:space="0"/>
              <w:right w:val="single" w:color="auto" w:sz="4" w:space="0"/>
            </w:tcBorders>
            <w:noWrap/>
            <w:vAlign w:val="center"/>
          </w:tcPr>
          <w:p w14:paraId="4F4689CA">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4815</w:t>
            </w:r>
          </w:p>
        </w:tc>
        <w:tc>
          <w:tcPr>
            <w:tcW w:w="1440" w:type="dxa"/>
            <w:tcBorders>
              <w:top w:val="nil"/>
              <w:left w:val="nil"/>
              <w:bottom w:val="single" w:color="auto" w:sz="4" w:space="0"/>
              <w:right w:val="single" w:color="auto" w:sz="4" w:space="0"/>
            </w:tcBorders>
            <w:noWrap/>
            <w:vAlign w:val="center"/>
          </w:tcPr>
          <w:p w14:paraId="61F1B48B">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4280</w:t>
            </w:r>
          </w:p>
        </w:tc>
      </w:tr>
      <w:tr w14:paraId="0D5CAC06">
        <w:tblPrEx>
          <w:tblCellMar>
            <w:top w:w="0" w:type="dxa"/>
            <w:left w:w="108" w:type="dxa"/>
            <w:bottom w:w="0" w:type="dxa"/>
            <w:right w:w="108" w:type="dxa"/>
          </w:tblCellMar>
        </w:tblPrEx>
        <w:trPr>
          <w:trHeight w:val="1134" w:hRule="exact"/>
          <w:jc w:val="center"/>
        </w:trPr>
        <w:tc>
          <w:tcPr>
            <w:tcW w:w="2165" w:type="dxa"/>
            <w:tcBorders>
              <w:top w:val="nil"/>
              <w:left w:val="single" w:color="auto" w:sz="4" w:space="0"/>
              <w:bottom w:val="single" w:color="auto" w:sz="4" w:space="0"/>
              <w:right w:val="single" w:color="auto" w:sz="4" w:space="0"/>
            </w:tcBorders>
            <w:noWrap/>
            <w:vAlign w:val="center"/>
          </w:tcPr>
          <w:p w14:paraId="499188F5">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砖木石木</w:t>
            </w:r>
          </w:p>
          <w:p w14:paraId="10723CA8">
            <w:pPr>
              <w:keepNext w:val="0"/>
              <w:keepLines w:val="0"/>
              <w:pageBreakBefore w:val="0"/>
              <w:widowControl w:val="0"/>
              <w:topLinePunct w:val="0"/>
              <w:bidi w:val="0"/>
              <w:spacing w:line="520" w:lineRule="exact"/>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石头土木</w:t>
            </w:r>
          </w:p>
        </w:tc>
        <w:tc>
          <w:tcPr>
            <w:tcW w:w="1260" w:type="dxa"/>
            <w:tcBorders>
              <w:top w:val="nil"/>
              <w:left w:val="nil"/>
              <w:bottom w:val="single" w:color="auto" w:sz="4" w:space="0"/>
              <w:right w:val="single" w:color="auto" w:sz="4" w:space="0"/>
            </w:tcBorders>
            <w:noWrap/>
            <w:vAlign w:val="center"/>
          </w:tcPr>
          <w:p w14:paraId="30812CCE">
            <w:pPr>
              <w:keepNext w:val="0"/>
              <w:keepLines w:val="0"/>
              <w:pageBreakBefore w:val="0"/>
              <w:widowControl w:val="0"/>
              <w:tabs>
                <w:tab w:val="left" w:pos="512"/>
              </w:tabs>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6695</w:t>
            </w:r>
          </w:p>
        </w:tc>
        <w:tc>
          <w:tcPr>
            <w:tcW w:w="1440" w:type="dxa"/>
            <w:tcBorders>
              <w:top w:val="nil"/>
              <w:left w:val="nil"/>
              <w:bottom w:val="single" w:color="auto" w:sz="4" w:space="0"/>
              <w:right w:val="single" w:color="auto" w:sz="4" w:space="0"/>
            </w:tcBorders>
            <w:noWrap/>
            <w:vAlign w:val="center"/>
          </w:tcPr>
          <w:p w14:paraId="2B545E32">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5665</w:t>
            </w:r>
          </w:p>
        </w:tc>
        <w:tc>
          <w:tcPr>
            <w:tcW w:w="1440" w:type="dxa"/>
            <w:tcBorders>
              <w:top w:val="nil"/>
              <w:left w:val="nil"/>
              <w:bottom w:val="single" w:color="auto" w:sz="4" w:space="0"/>
              <w:right w:val="single" w:color="auto" w:sz="4" w:space="0"/>
            </w:tcBorders>
            <w:noWrap/>
            <w:vAlign w:val="center"/>
          </w:tcPr>
          <w:p w14:paraId="623BB4A4">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5150</w:t>
            </w:r>
          </w:p>
        </w:tc>
        <w:tc>
          <w:tcPr>
            <w:tcW w:w="1260" w:type="dxa"/>
            <w:tcBorders>
              <w:top w:val="nil"/>
              <w:left w:val="nil"/>
              <w:bottom w:val="single" w:color="auto" w:sz="4" w:space="0"/>
              <w:right w:val="single" w:color="auto" w:sz="4" w:space="0"/>
            </w:tcBorders>
            <w:noWrap/>
            <w:vAlign w:val="center"/>
          </w:tcPr>
          <w:p w14:paraId="49AC689B">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4635</w:t>
            </w:r>
          </w:p>
        </w:tc>
        <w:tc>
          <w:tcPr>
            <w:tcW w:w="1440" w:type="dxa"/>
            <w:tcBorders>
              <w:top w:val="nil"/>
              <w:left w:val="nil"/>
              <w:bottom w:val="single" w:color="auto" w:sz="4" w:space="0"/>
              <w:right w:val="single" w:color="auto" w:sz="4" w:space="0"/>
            </w:tcBorders>
            <w:noWrap/>
            <w:vAlign w:val="center"/>
          </w:tcPr>
          <w:p w14:paraId="0F4C471C">
            <w:pPr>
              <w:keepNext w:val="0"/>
              <w:keepLines w:val="0"/>
              <w:pageBreakBefore w:val="0"/>
              <w:widowControl w:val="0"/>
              <w:topLinePunct w:val="0"/>
              <w:bidi w:val="0"/>
              <w:jc w:val="center"/>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lang w:val="en-US" w:eastAsia="zh-CN"/>
              </w:rPr>
              <w:t>4120</w:t>
            </w:r>
          </w:p>
        </w:tc>
      </w:tr>
      <w:tr w14:paraId="3F34C61D">
        <w:tblPrEx>
          <w:tblCellMar>
            <w:top w:w="0" w:type="dxa"/>
            <w:left w:w="108" w:type="dxa"/>
            <w:bottom w:w="0" w:type="dxa"/>
            <w:right w:w="108" w:type="dxa"/>
          </w:tblCellMar>
        </w:tblPrEx>
        <w:trPr>
          <w:trHeight w:val="4451" w:hRule="atLeast"/>
          <w:jc w:val="center"/>
        </w:trPr>
        <w:tc>
          <w:tcPr>
            <w:tcW w:w="9005" w:type="dxa"/>
            <w:gridSpan w:val="6"/>
            <w:tcBorders>
              <w:top w:val="single" w:color="auto" w:sz="4" w:space="0"/>
              <w:left w:val="single" w:color="auto" w:sz="4" w:space="0"/>
              <w:bottom w:val="single" w:color="auto" w:sz="4" w:space="0"/>
              <w:right w:val="single" w:color="000000" w:sz="4" w:space="0"/>
            </w:tcBorders>
            <w:noWrap/>
            <w:vAlign w:val="top"/>
          </w:tcPr>
          <w:p w14:paraId="6F4AD7CA">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方正仿宋简体" w:cs="方正仿宋简体"/>
                <w:b w:val="0"/>
                <w:bCs w:val="0"/>
                <w:color w:val="auto"/>
                <w:sz w:val="32"/>
                <w:szCs w:val="32"/>
                <w:highlight w:val="none"/>
              </w:rPr>
            </w:pPr>
          </w:p>
          <w:p w14:paraId="635F24E7">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备注：</w:t>
            </w:r>
          </w:p>
          <w:p w14:paraId="1E4B86FE">
            <w:pPr>
              <w:keepNext w:val="0"/>
              <w:keepLines w:val="0"/>
              <w:pageBreakBefore w:val="0"/>
              <w:widowControl w:val="0"/>
              <w:tabs>
                <w:tab w:val="center" w:pos="4252"/>
                <w:tab w:val="right" w:pos="8504"/>
              </w:tabs>
              <w:kinsoku/>
              <w:wordWrap/>
              <w:overflowPunct/>
              <w:topLinePunct w:val="0"/>
              <w:autoSpaceDE/>
              <w:autoSpaceDN/>
              <w:bidi w:val="0"/>
              <w:adjustRightInd w:val="0"/>
              <w:snapToGrid w:val="0"/>
              <w:spacing w:line="560" w:lineRule="exact"/>
              <w:ind w:firstLine="641"/>
              <w:textAlignment w:val="baseline"/>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1</w:t>
            </w:r>
            <w:r>
              <w:rPr>
                <w:rFonts w:hint="eastAsia" w:ascii="Times New Roman" w:hAnsi="Times New Roman" w:eastAsia="方正仿宋简体" w:cs="方正仿宋简体"/>
                <w:b w:val="0"/>
                <w:bCs w:val="0"/>
                <w:color w:val="auto"/>
                <w:spacing w:val="-6"/>
                <w:sz w:val="32"/>
                <w:szCs w:val="32"/>
                <w:highlight w:val="none"/>
              </w:rPr>
              <w:t>．</w:t>
            </w:r>
            <w:r>
              <w:rPr>
                <w:rFonts w:hint="eastAsia" w:ascii="Times New Roman" w:hAnsi="Times New Roman" w:eastAsia="方正仿宋简体" w:cs="方正仿宋简体"/>
                <w:b w:val="0"/>
                <w:bCs w:val="0"/>
                <w:color w:val="auto"/>
                <w:sz w:val="32"/>
                <w:szCs w:val="32"/>
                <w:highlight w:val="none"/>
              </w:rPr>
              <w:t>本表所列单价包括土地、建筑物等，不包含装修价值，装修补偿另计。</w:t>
            </w:r>
          </w:p>
          <w:p w14:paraId="13FCD220">
            <w:pPr>
              <w:keepNext w:val="0"/>
              <w:keepLines w:val="0"/>
              <w:pageBreakBefore w:val="0"/>
              <w:widowControl w:val="0"/>
              <w:tabs>
                <w:tab w:val="center" w:pos="4252"/>
                <w:tab w:val="right" w:pos="8504"/>
              </w:tabs>
              <w:kinsoku/>
              <w:wordWrap/>
              <w:overflowPunct/>
              <w:topLinePunct w:val="0"/>
              <w:autoSpaceDE/>
              <w:autoSpaceDN/>
              <w:bidi w:val="0"/>
              <w:adjustRightInd w:val="0"/>
              <w:snapToGrid w:val="0"/>
              <w:spacing w:line="560" w:lineRule="exact"/>
              <w:ind w:firstLine="641"/>
              <w:textAlignment w:val="baseline"/>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b w:val="0"/>
                <w:bCs w:val="0"/>
                <w:color w:val="auto"/>
                <w:sz w:val="32"/>
                <w:szCs w:val="32"/>
                <w:highlight w:val="none"/>
              </w:rPr>
              <w:t>2</w:t>
            </w:r>
            <w:r>
              <w:rPr>
                <w:rFonts w:hint="eastAsia" w:ascii="Times New Roman" w:hAnsi="Times New Roman" w:eastAsia="方正仿宋简体" w:cs="方正仿宋简体"/>
                <w:b w:val="0"/>
                <w:bCs w:val="0"/>
                <w:color w:val="auto"/>
                <w:spacing w:val="-6"/>
                <w:sz w:val="32"/>
                <w:szCs w:val="32"/>
                <w:highlight w:val="none"/>
              </w:rPr>
              <w:t>．</w:t>
            </w:r>
            <w:r>
              <w:rPr>
                <w:rFonts w:hint="eastAsia" w:ascii="Times New Roman" w:hAnsi="Times New Roman" w:eastAsia="方正仿宋简体" w:cs="方正仿宋简体"/>
                <w:b w:val="0"/>
                <w:bCs w:val="0"/>
                <w:color w:val="auto"/>
                <w:sz w:val="32"/>
                <w:szCs w:val="32"/>
                <w:highlight w:val="none"/>
              </w:rPr>
              <w:t>本表所列单价是指有合法审批手续的房屋。用地或基建审批手续不完整的房屋，应先按对应折率确认其可补偿面积后，再计算货币补偿价值。</w:t>
            </w:r>
          </w:p>
        </w:tc>
      </w:tr>
    </w:tbl>
    <w:p w14:paraId="48D3E614">
      <w:pPr>
        <w:keepNext w:val="0"/>
        <w:keepLines w:val="0"/>
        <w:pageBreakBefore w:val="0"/>
        <w:widowControl w:val="0"/>
        <w:topLinePunct w:val="0"/>
        <w:bidi w:val="0"/>
        <w:spacing w:afterLines="100" w:line="600" w:lineRule="exact"/>
        <w:rPr>
          <w:rFonts w:ascii="Times New Roman" w:hAnsi="Times New Roman" w:eastAsia="黑体"/>
          <w:color w:val="auto"/>
          <w:sz w:val="32"/>
          <w:szCs w:val="30"/>
          <w:highlight w:val="none"/>
        </w:rPr>
      </w:pPr>
    </w:p>
    <w:p w14:paraId="1B824DC9">
      <w:pPr>
        <w:keepNext w:val="0"/>
        <w:keepLines w:val="0"/>
        <w:pageBreakBefore w:val="0"/>
        <w:widowControl w:val="0"/>
        <w:topLinePunct w:val="0"/>
        <w:bidi w:val="0"/>
        <w:spacing w:line="590" w:lineRule="exact"/>
        <w:rPr>
          <w:rFonts w:ascii="Times New Roman" w:hAnsi="Times New Roman" w:eastAsia="黑体" w:cs="黑体"/>
          <w:color w:val="auto"/>
          <w:sz w:val="32"/>
          <w:szCs w:val="32"/>
          <w:highlight w:val="none"/>
        </w:rPr>
      </w:pPr>
    </w:p>
    <w:p w14:paraId="0D736FE8">
      <w:pPr>
        <w:keepNext w:val="0"/>
        <w:keepLines w:val="0"/>
        <w:pageBreakBefore w:val="0"/>
        <w:widowControl w:val="0"/>
        <w:topLinePunct w:val="0"/>
        <w:bidi w:val="0"/>
        <w:spacing w:line="590" w:lineRule="exact"/>
        <w:rPr>
          <w:rFonts w:hint="eastAsia" w:ascii="Times New Roman" w:hAnsi="Times New Roman" w:eastAsia="黑体" w:cs="黑体"/>
          <w:color w:val="auto"/>
          <w:sz w:val="32"/>
          <w:szCs w:val="32"/>
          <w:highlight w:val="none"/>
        </w:rPr>
      </w:pPr>
    </w:p>
    <w:p w14:paraId="1D956EDC">
      <w:pPr>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br w:type="page"/>
      </w:r>
    </w:p>
    <w:p w14:paraId="6F280E27">
      <w:pPr>
        <w:keepNext w:val="0"/>
        <w:keepLines w:val="0"/>
        <w:pageBreakBefore w:val="0"/>
        <w:widowControl w:val="0"/>
        <w:topLinePunct w:val="0"/>
        <w:bidi w:val="0"/>
        <w:spacing w:line="590" w:lineRule="exact"/>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附表二</w:t>
      </w:r>
    </w:p>
    <w:p w14:paraId="72F8E714">
      <w:pPr>
        <w:pStyle w:val="5"/>
        <w:keepNext w:val="0"/>
        <w:keepLines w:val="0"/>
        <w:pageBreakBefore w:val="0"/>
        <w:widowControl w:val="0"/>
        <w:topLinePunct w:val="0"/>
        <w:bidi w:val="0"/>
        <w:rPr>
          <w:rFonts w:ascii="Times New Roman" w:hAnsi="Times New Roman"/>
          <w:color w:val="auto"/>
          <w:highlight w:val="none"/>
        </w:rPr>
      </w:pPr>
    </w:p>
    <w:p w14:paraId="062D28E7">
      <w:pPr>
        <w:keepNext w:val="0"/>
        <w:keepLines w:val="0"/>
        <w:pageBreakBefore w:val="0"/>
        <w:widowControl w:val="0"/>
        <w:topLinePunct w:val="0"/>
        <w:bidi w:val="0"/>
        <w:spacing w:line="590" w:lineRule="exact"/>
        <w:jc w:val="center"/>
        <w:rPr>
          <w:rFonts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被征收住宅装修分类及补偿单价表</w:t>
      </w:r>
    </w:p>
    <w:p w14:paraId="0F6B4F17">
      <w:pPr>
        <w:pStyle w:val="5"/>
        <w:keepNext w:val="0"/>
        <w:keepLines w:val="0"/>
        <w:pageBreakBefore w:val="0"/>
        <w:widowControl w:val="0"/>
        <w:topLinePunct w:val="0"/>
        <w:bidi w:val="0"/>
        <w:rPr>
          <w:rFonts w:ascii="Times New Roman" w:hAnsi="Times New Roman"/>
          <w:color w:val="auto"/>
          <w:highlight w:val="none"/>
        </w:rPr>
      </w:pPr>
    </w:p>
    <w:p w14:paraId="02618110">
      <w:pPr>
        <w:keepNext w:val="0"/>
        <w:keepLines w:val="0"/>
        <w:pageBreakBefore w:val="0"/>
        <w:widowControl w:val="0"/>
        <w:topLinePunct w:val="0"/>
        <w:bidi w:val="0"/>
        <w:spacing w:line="590" w:lineRule="exact"/>
        <w:jc w:val="right"/>
        <w:rPr>
          <w:rFonts w:ascii="Times New Roman" w:hAnsi="Times New Roman"/>
          <w:color w:val="auto"/>
          <w:highlight w:val="none"/>
        </w:rPr>
      </w:pPr>
      <w:r>
        <w:rPr>
          <w:rFonts w:hint="eastAsia" w:ascii="Times New Roman" w:hAnsi="Times New Roman" w:eastAsia="方正仿宋简体"/>
          <w:color w:val="auto"/>
          <w:sz w:val="32"/>
          <w:szCs w:val="32"/>
          <w:highlight w:val="none"/>
        </w:rPr>
        <w:t>单位：元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w:t>
      </w:r>
    </w:p>
    <w:tbl>
      <w:tblPr>
        <w:tblStyle w:val="9"/>
        <w:tblpPr w:leftFromText="180" w:rightFromText="180" w:vertAnchor="text" w:horzAnchor="margin" w:tblpXSpec="center" w:tblpY="1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00"/>
        <w:gridCol w:w="7410"/>
      </w:tblGrid>
      <w:tr w14:paraId="46F3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4" w:type="dxa"/>
            <w:noWrap/>
            <w:vAlign w:val="center"/>
          </w:tcPr>
          <w:p w14:paraId="1D006FAC">
            <w:pPr>
              <w:keepNext w:val="0"/>
              <w:keepLines w:val="0"/>
              <w:pageBreakBefore w:val="0"/>
              <w:widowControl w:val="0"/>
              <w:topLinePunct w:val="0"/>
              <w:bidi w:val="0"/>
              <w:spacing w:line="520" w:lineRule="exact"/>
              <w:jc w:val="center"/>
              <w:rPr>
                <w:rFonts w:ascii="Times New Roman" w:hAnsi="Times New Roman" w:eastAsia="方正仿宋简体"/>
                <w:b/>
                <w:bCs/>
                <w:color w:val="auto"/>
                <w:sz w:val="30"/>
                <w:szCs w:val="30"/>
                <w:highlight w:val="none"/>
              </w:rPr>
            </w:pPr>
            <w:r>
              <w:rPr>
                <w:rFonts w:hint="eastAsia" w:ascii="Times New Roman" w:hAnsi="Times New Roman" w:eastAsia="方正仿宋简体"/>
                <w:b/>
                <w:bCs/>
                <w:color w:val="auto"/>
                <w:sz w:val="30"/>
                <w:szCs w:val="30"/>
                <w:highlight w:val="none"/>
              </w:rPr>
              <w:t>档次</w:t>
            </w:r>
          </w:p>
        </w:tc>
        <w:tc>
          <w:tcPr>
            <w:tcW w:w="900" w:type="dxa"/>
            <w:noWrap/>
            <w:vAlign w:val="center"/>
          </w:tcPr>
          <w:p w14:paraId="19B0DE1C">
            <w:pPr>
              <w:keepNext w:val="0"/>
              <w:keepLines w:val="0"/>
              <w:pageBreakBefore w:val="0"/>
              <w:widowControl w:val="0"/>
              <w:topLinePunct w:val="0"/>
              <w:bidi w:val="0"/>
              <w:spacing w:line="520" w:lineRule="exact"/>
              <w:jc w:val="center"/>
              <w:rPr>
                <w:rFonts w:ascii="Times New Roman" w:hAnsi="Times New Roman" w:eastAsia="方正仿宋简体"/>
                <w:b/>
                <w:bCs/>
                <w:color w:val="auto"/>
                <w:sz w:val="30"/>
                <w:szCs w:val="30"/>
                <w:highlight w:val="none"/>
              </w:rPr>
            </w:pPr>
            <w:r>
              <w:rPr>
                <w:rFonts w:hint="eastAsia" w:ascii="Times New Roman" w:hAnsi="Times New Roman" w:eastAsia="方正仿宋简体"/>
                <w:b/>
                <w:bCs/>
                <w:color w:val="auto"/>
                <w:sz w:val="30"/>
                <w:szCs w:val="30"/>
                <w:highlight w:val="none"/>
              </w:rPr>
              <w:t>补偿</w:t>
            </w:r>
          </w:p>
          <w:p w14:paraId="246FDE66">
            <w:pPr>
              <w:keepNext w:val="0"/>
              <w:keepLines w:val="0"/>
              <w:pageBreakBefore w:val="0"/>
              <w:widowControl w:val="0"/>
              <w:topLinePunct w:val="0"/>
              <w:bidi w:val="0"/>
              <w:spacing w:line="520" w:lineRule="exact"/>
              <w:jc w:val="center"/>
              <w:rPr>
                <w:rFonts w:ascii="Times New Roman" w:hAnsi="Times New Roman" w:eastAsia="方正仿宋简体"/>
                <w:b/>
                <w:bCs/>
                <w:color w:val="auto"/>
                <w:sz w:val="30"/>
                <w:szCs w:val="30"/>
                <w:highlight w:val="none"/>
              </w:rPr>
            </w:pPr>
            <w:r>
              <w:rPr>
                <w:rFonts w:hint="eastAsia" w:ascii="Times New Roman" w:hAnsi="Times New Roman" w:eastAsia="方正仿宋简体"/>
                <w:b/>
                <w:bCs/>
                <w:color w:val="auto"/>
                <w:sz w:val="30"/>
                <w:szCs w:val="30"/>
                <w:highlight w:val="none"/>
              </w:rPr>
              <w:t>金额</w:t>
            </w:r>
          </w:p>
        </w:tc>
        <w:tc>
          <w:tcPr>
            <w:tcW w:w="7410" w:type="dxa"/>
            <w:noWrap/>
            <w:vAlign w:val="center"/>
          </w:tcPr>
          <w:p w14:paraId="6C8F132E">
            <w:pPr>
              <w:keepNext w:val="0"/>
              <w:keepLines w:val="0"/>
              <w:pageBreakBefore w:val="0"/>
              <w:widowControl w:val="0"/>
              <w:topLinePunct w:val="0"/>
              <w:bidi w:val="0"/>
              <w:spacing w:line="520" w:lineRule="exact"/>
              <w:jc w:val="center"/>
              <w:rPr>
                <w:rFonts w:ascii="Times New Roman" w:hAnsi="Times New Roman" w:eastAsia="方正仿宋简体"/>
                <w:b/>
                <w:bCs/>
                <w:color w:val="auto"/>
                <w:sz w:val="30"/>
                <w:szCs w:val="30"/>
                <w:highlight w:val="none"/>
              </w:rPr>
            </w:pPr>
            <w:r>
              <w:rPr>
                <w:rFonts w:hint="eastAsia" w:ascii="Times New Roman" w:hAnsi="Times New Roman" w:eastAsia="方正仿宋简体"/>
                <w:b/>
                <w:bCs/>
                <w:color w:val="auto"/>
                <w:sz w:val="30"/>
                <w:szCs w:val="30"/>
                <w:highlight w:val="none"/>
              </w:rPr>
              <w:t>主要特征</w:t>
            </w:r>
          </w:p>
        </w:tc>
      </w:tr>
      <w:tr w14:paraId="5510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694" w:type="dxa"/>
            <w:noWrap/>
            <w:vAlign w:val="center"/>
          </w:tcPr>
          <w:p w14:paraId="10153A3E">
            <w:pPr>
              <w:keepNext w:val="0"/>
              <w:keepLines w:val="0"/>
              <w:pageBreakBefore w:val="0"/>
              <w:widowControl w:val="0"/>
              <w:topLinePunct w:val="0"/>
              <w:bidi w:val="0"/>
              <w:spacing w:line="480" w:lineRule="exact"/>
              <w:jc w:val="center"/>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一档</w:t>
            </w:r>
          </w:p>
        </w:tc>
        <w:tc>
          <w:tcPr>
            <w:tcW w:w="900" w:type="dxa"/>
            <w:noWrap/>
            <w:vAlign w:val="center"/>
          </w:tcPr>
          <w:p w14:paraId="276F2F97">
            <w:pPr>
              <w:keepNext w:val="0"/>
              <w:keepLines w:val="0"/>
              <w:pageBreakBefore w:val="0"/>
              <w:widowControl w:val="0"/>
              <w:topLinePunct w:val="0"/>
              <w:bidi w:val="0"/>
              <w:spacing w:line="48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600</w:t>
            </w:r>
          </w:p>
        </w:tc>
        <w:tc>
          <w:tcPr>
            <w:tcW w:w="7410" w:type="dxa"/>
            <w:noWrap/>
            <w:vAlign w:val="center"/>
          </w:tcPr>
          <w:p w14:paraId="19704CBF">
            <w:pPr>
              <w:keepNext w:val="0"/>
              <w:keepLines w:val="0"/>
              <w:pageBreakBefore w:val="0"/>
              <w:widowControl w:val="0"/>
              <w:topLinePunct w:val="0"/>
              <w:bidi w:val="0"/>
              <w:spacing w:line="480" w:lineRule="exact"/>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外墙瓷砖装饰，入户门为甲、乙级防盗门，房间门为高档实木门，地面0.8*0.8或0.6*1.2及以上瓷砖铺设、大理石拼花或实木地板，厅面整体贴砖、房间局部贴墙纸：天棚艺术吊顶（局部有造型）、室内设有部分壁柜；铝合金窗、外加防盗网，窗帘盒，阳台有防盗网；厨房瓷砖地面，瓷砖墙面，铝塑板吊顶；卫生间吊顶，知名品牌洁具；水电设施齐全。</w:t>
            </w:r>
          </w:p>
        </w:tc>
      </w:tr>
      <w:tr w14:paraId="26F4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694" w:type="dxa"/>
            <w:noWrap/>
            <w:vAlign w:val="center"/>
          </w:tcPr>
          <w:p w14:paraId="0AD4372E">
            <w:pPr>
              <w:keepNext w:val="0"/>
              <w:keepLines w:val="0"/>
              <w:pageBreakBefore w:val="0"/>
              <w:widowControl w:val="0"/>
              <w:topLinePunct w:val="0"/>
              <w:bidi w:val="0"/>
              <w:spacing w:line="480" w:lineRule="exact"/>
              <w:jc w:val="center"/>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二档</w:t>
            </w:r>
          </w:p>
        </w:tc>
        <w:tc>
          <w:tcPr>
            <w:tcW w:w="900" w:type="dxa"/>
            <w:noWrap/>
            <w:vAlign w:val="center"/>
          </w:tcPr>
          <w:p w14:paraId="28ADA469">
            <w:pPr>
              <w:keepNext w:val="0"/>
              <w:keepLines w:val="0"/>
              <w:pageBreakBefore w:val="0"/>
              <w:widowControl w:val="0"/>
              <w:topLinePunct w:val="0"/>
              <w:bidi w:val="0"/>
              <w:spacing w:line="48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500</w:t>
            </w:r>
          </w:p>
        </w:tc>
        <w:tc>
          <w:tcPr>
            <w:tcW w:w="7410" w:type="dxa"/>
            <w:noWrap/>
            <w:vAlign w:val="center"/>
          </w:tcPr>
          <w:p w14:paraId="0E52155E">
            <w:pPr>
              <w:keepNext w:val="0"/>
              <w:keepLines w:val="0"/>
              <w:pageBreakBefore w:val="0"/>
              <w:widowControl w:val="0"/>
              <w:topLinePunct w:val="0"/>
              <w:bidi w:val="0"/>
              <w:spacing w:line="480" w:lineRule="exact"/>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外墙瓷砖装饰，入户门为乙、丙级防盗门，地面为0.5*0.5及以上瓷砖铺设、强化木地板地面；厅面半墙及以上贴砖或新型内墙材料装修：天棚铝塑板平吊、铝合金窗外加部分防盗网，阳台有防盗网；厨房瓷砖地面，瓷砖墙面，卫生间吊顶，洁具齐全；水电设施齐全。</w:t>
            </w:r>
          </w:p>
        </w:tc>
      </w:tr>
      <w:tr w14:paraId="6AD8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4" w:type="dxa"/>
            <w:noWrap/>
            <w:vAlign w:val="center"/>
          </w:tcPr>
          <w:p w14:paraId="33785E08">
            <w:pPr>
              <w:keepNext w:val="0"/>
              <w:keepLines w:val="0"/>
              <w:pageBreakBefore w:val="0"/>
              <w:widowControl w:val="0"/>
              <w:topLinePunct w:val="0"/>
              <w:bidi w:val="0"/>
              <w:spacing w:line="480" w:lineRule="exact"/>
              <w:jc w:val="center"/>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三档</w:t>
            </w:r>
          </w:p>
        </w:tc>
        <w:tc>
          <w:tcPr>
            <w:tcW w:w="900" w:type="dxa"/>
            <w:noWrap/>
            <w:vAlign w:val="center"/>
          </w:tcPr>
          <w:p w14:paraId="366AA484">
            <w:pPr>
              <w:keepNext w:val="0"/>
              <w:keepLines w:val="0"/>
              <w:pageBreakBefore w:val="0"/>
              <w:widowControl w:val="0"/>
              <w:topLinePunct w:val="0"/>
              <w:bidi w:val="0"/>
              <w:spacing w:line="48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400</w:t>
            </w:r>
          </w:p>
        </w:tc>
        <w:tc>
          <w:tcPr>
            <w:tcW w:w="7410" w:type="dxa"/>
            <w:noWrap/>
            <w:vAlign w:val="center"/>
          </w:tcPr>
          <w:p w14:paraId="4E7C7631">
            <w:pPr>
              <w:keepNext w:val="0"/>
              <w:keepLines w:val="0"/>
              <w:pageBreakBefore w:val="0"/>
              <w:widowControl w:val="0"/>
              <w:topLinePunct w:val="0"/>
              <w:bidi w:val="0"/>
              <w:spacing w:line="480" w:lineRule="exact"/>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入户门为铁门、木门及丙、丁级防盗门，地面为普通花岗岩或</w:t>
            </w:r>
            <w:r>
              <w:rPr>
                <w:rFonts w:hint="eastAsia" w:ascii="Times New Roman" w:hAnsi="Times New Roman" w:eastAsia="方正仿宋简体"/>
                <w:color w:val="auto"/>
                <w:spacing w:val="-6"/>
                <w:sz w:val="28"/>
                <w:szCs w:val="28"/>
                <w:highlight w:val="none"/>
              </w:rPr>
              <w:t>普通瓷砖，内墙面或天棚为墙漆粉刷，天棚四周角线或塑料扣板吊顶：木门窗，卫生间洁具齐全，吊顶；水电设施齐全。</w:t>
            </w:r>
          </w:p>
        </w:tc>
      </w:tr>
      <w:tr w14:paraId="513D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4" w:type="dxa"/>
            <w:noWrap/>
            <w:vAlign w:val="center"/>
          </w:tcPr>
          <w:p w14:paraId="72DD4D28">
            <w:pPr>
              <w:keepNext w:val="0"/>
              <w:keepLines w:val="0"/>
              <w:pageBreakBefore w:val="0"/>
              <w:widowControl w:val="0"/>
              <w:topLinePunct w:val="0"/>
              <w:bidi w:val="0"/>
              <w:spacing w:line="480" w:lineRule="exact"/>
              <w:jc w:val="center"/>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四档</w:t>
            </w:r>
          </w:p>
        </w:tc>
        <w:tc>
          <w:tcPr>
            <w:tcW w:w="900" w:type="dxa"/>
            <w:noWrap/>
            <w:vAlign w:val="center"/>
          </w:tcPr>
          <w:p w14:paraId="2E2BE939">
            <w:pPr>
              <w:keepNext w:val="0"/>
              <w:keepLines w:val="0"/>
              <w:pageBreakBefore w:val="0"/>
              <w:widowControl w:val="0"/>
              <w:topLinePunct w:val="0"/>
              <w:bidi w:val="0"/>
              <w:spacing w:line="48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300</w:t>
            </w:r>
          </w:p>
        </w:tc>
        <w:tc>
          <w:tcPr>
            <w:tcW w:w="7410" w:type="dxa"/>
            <w:noWrap/>
            <w:vAlign w:val="center"/>
          </w:tcPr>
          <w:p w14:paraId="16E7D574">
            <w:pPr>
              <w:keepNext w:val="0"/>
              <w:keepLines w:val="0"/>
              <w:pageBreakBefore w:val="0"/>
              <w:widowControl w:val="0"/>
              <w:topLinePunct w:val="0"/>
              <w:bidi w:val="0"/>
              <w:spacing w:line="480" w:lineRule="exact"/>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地面为普通瓷砖，墙面部分贴瓷砖，内墙面及天棚普通墙漆粉刷：木门窗，简单铁门，防盗栅，水电设施齐全。</w:t>
            </w:r>
          </w:p>
        </w:tc>
      </w:tr>
      <w:tr w14:paraId="5110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94" w:type="dxa"/>
            <w:noWrap/>
            <w:vAlign w:val="center"/>
          </w:tcPr>
          <w:p w14:paraId="7881EBEB">
            <w:pPr>
              <w:keepNext w:val="0"/>
              <w:keepLines w:val="0"/>
              <w:pageBreakBefore w:val="0"/>
              <w:widowControl w:val="0"/>
              <w:topLinePunct w:val="0"/>
              <w:bidi w:val="0"/>
              <w:spacing w:line="480" w:lineRule="exact"/>
              <w:jc w:val="center"/>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五档</w:t>
            </w:r>
          </w:p>
        </w:tc>
        <w:tc>
          <w:tcPr>
            <w:tcW w:w="900" w:type="dxa"/>
            <w:noWrap/>
            <w:vAlign w:val="center"/>
          </w:tcPr>
          <w:p w14:paraId="37C41F45">
            <w:pPr>
              <w:keepNext w:val="0"/>
              <w:keepLines w:val="0"/>
              <w:pageBreakBefore w:val="0"/>
              <w:widowControl w:val="0"/>
              <w:topLinePunct w:val="0"/>
              <w:bidi w:val="0"/>
              <w:spacing w:line="48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200</w:t>
            </w:r>
          </w:p>
        </w:tc>
        <w:tc>
          <w:tcPr>
            <w:tcW w:w="7410" w:type="dxa"/>
            <w:noWrap/>
            <w:vAlign w:val="center"/>
          </w:tcPr>
          <w:p w14:paraId="5D00DA14">
            <w:pPr>
              <w:keepNext w:val="0"/>
              <w:keepLines w:val="0"/>
              <w:pageBreakBefore w:val="0"/>
              <w:widowControl w:val="0"/>
              <w:topLinePunct w:val="0"/>
              <w:bidi w:val="0"/>
              <w:spacing w:line="480" w:lineRule="exact"/>
              <w:rPr>
                <w:rFonts w:ascii="Times New Roman" w:hAnsi="Times New Roman" w:eastAsia="方正仿宋简体"/>
                <w:color w:val="auto"/>
                <w:sz w:val="28"/>
                <w:szCs w:val="28"/>
                <w:highlight w:val="none"/>
              </w:rPr>
            </w:pPr>
            <w:r>
              <w:rPr>
                <w:rFonts w:hint="eastAsia" w:ascii="Times New Roman" w:hAnsi="Times New Roman" w:eastAsia="方正仿宋简体"/>
                <w:color w:val="auto"/>
                <w:sz w:val="28"/>
                <w:szCs w:val="28"/>
                <w:highlight w:val="none"/>
              </w:rPr>
              <w:t>地面为地板砖或斗底砖，内墙面及天棚简单粉刷或部分粉刷：木门窗，简单铁门，防盗栅，水电设施齐全。</w:t>
            </w:r>
          </w:p>
        </w:tc>
      </w:tr>
    </w:tbl>
    <w:p w14:paraId="7C92B952">
      <w:pPr>
        <w:keepNext w:val="0"/>
        <w:keepLines w:val="0"/>
        <w:pageBreakBefore w:val="0"/>
        <w:widowControl w:val="0"/>
        <w:topLinePunct w:val="0"/>
        <w:bidi w:val="0"/>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br w:type="page"/>
      </w:r>
      <w:r>
        <w:rPr>
          <w:rFonts w:hint="eastAsia" w:ascii="Times New Roman" w:hAnsi="Times New Roman" w:eastAsia="黑体" w:cs="黑体"/>
          <w:color w:val="auto"/>
          <w:sz w:val="32"/>
          <w:szCs w:val="32"/>
          <w:highlight w:val="none"/>
        </w:rPr>
        <w:t>附</w:t>
      </w:r>
      <w:r>
        <w:rPr>
          <w:rFonts w:hint="eastAsia" w:ascii="Times New Roman" w:hAnsi="Times New Roman" w:eastAsia="黑体"/>
          <w:color w:val="auto"/>
          <w:sz w:val="32"/>
          <w:szCs w:val="30"/>
          <w:highlight w:val="none"/>
        </w:rPr>
        <w:t>表</w:t>
      </w:r>
      <w:r>
        <w:rPr>
          <w:rFonts w:hint="eastAsia" w:ascii="Times New Roman" w:hAnsi="Times New Roman" w:eastAsia="黑体" w:cs="黑体"/>
          <w:color w:val="auto"/>
          <w:sz w:val="32"/>
          <w:szCs w:val="32"/>
          <w:highlight w:val="none"/>
        </w:rPr>
        <w:t>三</w:t>
      </w:r>
    </w:p>
    <w:p w14:paraId="50A3B895">
      <w:pPr>
        <w:keepNext w:val="0"/>
        <w:keepLines w:val="0"/>
        <w:pageBreakBefore w:val="0"/>
        <w:widowControl w:val="0"/>
        <w:topLinePunct w:val="0"/>
        <w:bidi w:val="0"/>
        <w:spacing w:line="590" w:lineRule="exact"/>
        <w:jc w:val="center"/>
        <w:rPr>
          <w:rFonts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被征收住宅材料费补贴单价表</w:t>
      </w:r>
    </w:p>
    <w:p w14:paraId="495554EA">
      <w:pPr>
        <w:pStyle w:val="5"/>
        <w:keepNext w:val="0"/>
        <w:keepLines w:val="0"/>
        <w:pageBreakBefore w:val="0"/>
        <w:widowControl w:val="0"/>
        <w:topLinePunct w:val="0"/>
        <w:bidi w:val="0"/>
        <w:rPr>
          <w:rFonts w:ascii="Times New Roman" w:hAnsi="Times New Roman"/>
          <w:color w:val="auto"/>
          <w:highlight w:val="none"/>
        </w:rPr>
      </w:pPr>
    </w:p>
    <w:p w14:paraId="7354EE5D">
      <w:pPr>
        <w:keepNext w:val="0"/>
        <w:keepLines w:val="0"/>
        <w:pageBreakBefore w:val="0"/>
        <w:widowControl w:val="0"/>
        <w:topLinePunct w:val="0"/>
        <w:bidi w:val="0"/>
        <w:spacing w:line="590" w:lineRule="exact"/>
        <w:jc w:val="right"/>
        <w:rPr>
          <w:rFonts w:ascii="Times New Roman" w:hAnsi="Times New Roman" w:eastAsia="方正仿宋简体"/>
          <w:color w:val="auto"/>
          <w:sz w:val="32"/>
          <w:szCs w:val="32"/>
          <w:highlight w:val="none"/>
        </w:rPr>
      </w:pPr>
      <w:r>
        <w:rPr>
          <w:rFonts w:hint="eastAsia" w:ascii="Times New Roman" w:hAnsi="Times New Roman" w:eastAsia="方正仿宋简体"/>
          <w:color w:val="auto"/>
          <w:sz w:val="32"/>
          <w:szCs w:val="32"/>
          <w:highlight w:val="none"/>
        </w:rPr>
        <w:t>单位：元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1969"/>
        <w:gridCol w:w="2351"/>
      </w:tblGrid>
      <w:tr w14:paraId="3943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628" w:type="dxa"/>
            <w:noWrap/>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7D95B70">
            <w:pPr>
              <w:keepNext w:val="0"/>
              <w:keepLines w:val="0"/>
              <w:pageBreakBefore w:val="0"/>
              <w:widowControl w:val="0"/>
              <w:tabs>
                <w:tab w:val="left" w:pos="640"/>
              </w:tabs>
              <w:topLinePunct w:val="0"/>
              <w:bidi w:val="0"/>
              <w:jc w:val="center"/>
              <w:rPr>
                <w:rFonts w:hint="eastAsia" w:ascii="Times New Roman" w:hAnsi="Times New Roman" w:eastAsia="方正仿宋简体" w:cs="方正仿宋简体"/>
                <w:b/>
                <w:bCs/>
                <w:color w:val="auto"/>
                <w:sz w:val="32"/>
                <w:szCs w:val="32"/>
                <w:highlight w:val="none"/>
              </w:rPr>
            </w:pPr>
          </w:p>
          <w:p w14:paraId="5E955CC3">
            <w:pPr>
              <w:keepNext w:val="0"/>
              <w:keepLines w:val="0"/>
              <w:pageBreakBefore w:val="0"/>
              <w:widowControl w:val="0"/>
              <w:tabs>
                <w:tab w:val="left" w:pos="640"/>
              </w:tabs>
              <w:topLinePunct w:val="0"/>
              <w:bidi w:val="0"/>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装修补偿</w:t>
            </w:r>
          </w:p>
          <w:p w14:paraId="357B229E">
            <w:pPr>
              <w:keepNext w:val="0"/>
              <w:keepLines w:val="0"/>
              <w:pageBreakBefore w:val="0"/>
              <w:widowControl w:val="0"/>
              <w:kinsoku w:val="0"/>
              <w:overflowPunct w:val="0"/>
              <w:topLinePunct w:val="0"/>
              <w:autoSpaceDE w:val="0"/>
              <w:autoSpaceDN w:val="0"/>
              <w:bidi w:val="0"/>
              <w:snapToGrid w:val="0"/>
              <w:spacing w:line="240" w:lineRule="auto"/>
              <w:jc w:val="center"/>
              <mc:AlternateContent>
                <mc:Choice Requires="wpsCustomData">
                  <wpsCustomData:diagonalParaType/>
                </mc:Choice>
              </mc:AlternateContent>
              <w:rPr>
                <w:rFonts w:hint="eastAsia" w:ascii="Times New Roman" w:hAnsi="Times New Roman" w:eastAsia="方正仿宋简体" w:cs="方正仿宋简体"/>
                <w:b/>
                <w:bCs/>
                <w:color w:val="auto"/>
                <w:sz w:val="32"/>
                <w:szCs w:val="32"/>
                <w:highlight w:val="none"/>
              </w:rPr>
            </w:pPr>
          </w:p>
          <w:p w14:paraId="104A58B8">
            <w:pPr>
              <w:keepNext w:val="0"/>
              <w:keepLines w:val="0"/>
              <w:pageBreakBefore w:val="0"/>
              <w:widowControl w:val="0"/>
              <w:kinsoku w:val="0"/>
              <w:overflowPunct w:val="0"/>
              <w:topLinePunct w:val="0"/>
              <w:autoSpaceDE w:val="0"/>
              <w:autoSpaceDN w:val="0"/>
              <w:bidi w:val="0"/>
              <w:jc w:val="center"/>
              <w:rPr>
                <w:rFonts w:hint="eastAsia" w:ascii="Times New Roman" w:hAnsi="Times New Roman" w:eastAsia="方正仿宋简体" w:cs="方正仿宋简体"/>
                <w:b/>
                <w:bCs/>
                <w:color w:val="auto"/>
                <w:sz w:val="32"/>
                <w:szCs w:val="32"/>
                <w:highlight w:val="none"/>
              </w:rPr>
            </w:pPr>
            <w:r>
              <w:rPr>
                <w:rFonts w:hint="eastAsia" w:ascii="Times New Roman" w:hAnsi="Times New Roman" w:eastAsia="方正仿宋简体" w:cs="方正仿宋简体"/>
                <w:b/>
                <w:bCs/>
                <w:color w:val="auto"/>
                <w:sz w:val="32"/>
                <w:szCs w:val="32"/>
                <w:highlight w:val="none"/>
              </w:rPr>
              <w:t>建筑结构</w:t>
            </w:r>
          </w:p>
        </w:tc>
        <w:tc>
          <w:tcPr>
            <w:tcW w:w="1980" w:type="dxa"/>
            <w:noWrap/>
            <w:vAlign w:val="center"/>
          </w:tcPr>
          <w:p w14:paraId="5DC58C53">
            <w:pPr>
              <w:keepNext w:val="0"/>
              <w:keepLines w:val="0"/>
              <w:pageBreakBefore w:val="0"/>
              <w:widowControl w:val="0"/>
              <w:topLinePunct w:val="0"/>
              <w:bidi w:val="0"/>
              <w:jc w:val="center"/>
              <w:rPr>
                <w:rFonts w:hint="eastAsia" w:ascii="Times New Roman" w:hAnsi="Times New Roman" w:eastAsia="方正仿宋简体" w:cs="方正仿宋简体"/>
                <w:b/>
                <w:bCs/>
                <w:color w:val="auto"/>
                <w:kern w:val="21"/>
                <w:sz w:val="32"/>
                <w:szCs w:val="32"/>
                <w:highlight w:val="none"/>
              </w:rPr>
            </w:pPr>
            <w:r>
              <w:rPr>
                <w:rFonts w:hint="eastAsia" w:ascii="Times New Roman" w:hAnsi="Times New Roman" w:eastAsia="方正仿宋简体" w:cs="方正仿宋简体"/>
                <w:b/>
                <w:bCs/>
                <w:color w:val="auto"/>
                <w:kern w:val="21"/>
                <w:sz w:val="32"/>
                <w:szCs w:val="32"/>
                <w:highlight w:val="none"/>
              </w:rPr>
              <w:t>框架</w:t>
            </w:r>
          </w:p>
        </w:tc>
        <w:tc>
          <w:tcPr>
            <w:tcW w:w="1969" w:type="dxa"/>
            <w:noWrap/>
            <w:vAlign w:val="center"/>
          </w:tcPr>
          <w:p w14:paraId="79777D29">
            <w:pPr>
              <w:keepNext w:val="0"/>
              <w:keepLines w:val="0"/>
              <w:pageBreakBefore w:val="0"/>
              <w:widowControl w:val="0"/>
              <w:topLinePunct w:val="0"/>
              <w:bidi w:val="0"/>
              <w:jc w:val="center"/>
              <w:rPr>
                <w:rFonts w:hint="eastAsia" w:ascii="Times New Roman" w:hAnsi="Times New Roman" w:eastAsia="方正仿宋简体" w:cs="方正仿宋简体"/>
                <w:b/>
                <w:bCs/>
                <w:color w:val="auto"/>
                <w:kern w:val="21"/>
                <w:sz w:val="32"/>
                <w:szCs w:val="32"/>
                <w:highlight w:val="none"/>
              </w:rPr>
            </w:pPr>
            <w:r>
              <w:rPr>
                <w:rFonts w:hint="eastAsia" w:ascii="Times New Roman" w:hAnsi="Times New Roman" w:eastAsia="方正仿宋简体" w:cs="方正仿宋简体"/>
                <w:b/>
                <w:bCs/>
                <w:color w:val="auto"/>
                <w:kern w:val="21"/>
                <w:sz w:val="32"/>
                <w:szCs w:val="32"/>
                <w:highlight w:val="none"/>
              </w:rPr>
              <w:t>砖混</w:t>
            </w:r>
          </w:p>
        </w:tc>
        <w:tc>
          <w:tcPr>
            <w:tcW w:w="2351" w:type="dxa"/>
            <w:noWrap/>
            <w:vAlign w:val="center"/>
          </w:tcPr>
          <w:p w14:paraId="39674EAD">
            <w:pPr>
              <w:keepNext w:val="0"/>
              <w:keepLines w:val="0"/>
              <w:pageBreakBefore w:val="0"/>
              <w:widowControl w:val="0"/>
              <w:topLinePunct w:val="0"/>
              <w:bidi w:val="0"/>
              <w:jc w:val="center"/>
              <w:rPr>
                <w:rFonts w:hint="eastAsia" w:ascii="Times New Roman" w:hAnsi="Times New Roman" w:eastAsia="方正仿宋简体" w:cs="方正仿宋简体"/>
                <w:b/>
                <w:bCs/>
                <w:color w:val="auto"/>
                <w:kern w:val="21"/>
                <w:sz w:val="32"/>
                <w:szCs w:val="32"/>
                <w:highlight w:val="none"/>
              </w:rPr>
            </w:pPr>
            <w:r>
              <w:rPr>
                <w:rFonts w:hint="eastAsia" w:ascii="Times New Roman" w:hAnsi="Times New Roman" w:eastAsia="方正仿宋简体" w:cs="方正仿宋简体"/>
                <w:b/>
                <w:bCs/>
                <w:color w:val="auto"/>
                <w:kern w:val="21"/>
                <w:sz w:val="32"/>
                <w:szCs w:val="32"/>
                <w:highlight w:val="none"/>
              </w:rPr>
              <w:t>其他</w:t>
            </w:r>
          </w:p>
        </w:tc>
      </w:tr>
      <w:tr w14:paraId="4215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28" w:type="dxa"/>
            <w:noWrap/>
            <w:vAlign w:val="center"/>
          </w:tcPr>
          <w:p w14:paraId="640403E5">
            <w:pPr>
              <w:keepNext w:val="0"/>
              <w:keepLines w:val="0"/>
              <w:pageBreakBefore w:val="0"/>
              <w:widowControl w:val="0"/>
              <w:topLinePunct w:val="0"/>
              <w:bidi w:val="0"/>
              <w:jc w:val="center"/>
              <w:rPr>
                <w:rFonts w:hint="eastAsia" w:ascii="Times New Roman" w:hAnsi="Times New Roman" w:eastAsia="方正仿宋简体" w:cs="方正仿宋简体"/>
                <w:color w:val="auto"/>
                <w:kern w:val="21"/>
                <w:sz w:val="32"/>
                <w:szCs w:val="32"/>
                <w:highlight w:val="none"/>
              </w:rPr>
            </w:pPr>
            <w:r>
              <w:rPr>
                <w:rFonts w:hint="eastAsia" w:ascii="Times New Roman" w:hAnsi="Times New Roman" w:eastAsia="方正仿宋简体" w:cs="方正仿宋简体"/>
                <w:color w:val="auto"/>
                <w:kern w:val="21"/>
                <w:sz w:val="32"/>
                <w:szCs w:val="32"/>
                <w:highlight w:val="none"/>
              </w:rPr>
              <w:t>较好</w:t>
            </w:r>
          </w:p>
        </w:tc>
        <w:tc>
          <w:tcPr>
            <w:tcW w:w="1980" w:type="dxa"/>
            <w:noWrap/>
            <w:vAlign w:val="center"/>
          </w:tcPr>
          <w:p w14:paraId="46D41E9C">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 xml:space="preserve">1600 </w:t>
            </w:r>
          </w:p>
        </w:tc>
        <w:tc>
          <w:tcPr>
            <w:tcW w:w="1969" w:type="dxa"/>
            <w:noWrap/>
            <w:vAlign w:val="center"/>
          </w:tcPr>
          <w:p w14:paraId="0804A866">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 xml:space="preserve">1500 </w:t>
            </w:r>
          </w:p>
        </w:tc>
        <w:tc>
          <w:tcPr>
            <w:tcW w:w="2351" w:type="dxa"/>
            <w:noWrap/>
            <w:vAlign w:val="center"/>
          </w:tcPr>
          <w:p w14:paraId="71F68953">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 xml:space="preserve">1400 </w:t>
            </w:r>
          </w:p>
        </w:tc>
      </w:tr>
      <w:tr w14:paraId="2EC5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28" w:type="dxa"/>
            <w:noWrap/>
            <w:vAlign w:val="center"/>
          </w:tcPr>
          <w:p w14:paraId="6259AA0A">
            <w:pPr>
              <w:keepNext w:val="0"/>
              <w:keepLines w:val="0"/>
              <w:pageBreakBefore w:val="0"/>
              <w:widowControl w:val="0"/>
              <w:topLinePunct w:val="0"/>
              <w:bidi w:val="0"/>
              <w:jc w:val="center"/>
              <w:rPr>
                <w:rFonts w:hint="eastAsia" w:ascii="Times New Roman" w:hAnsi="Times New Roman" w:eastAsia="方正仿宋简体" w:cs="方正仿宋简体"/>
                <w:color w:val="auto"/>
                <w:kern w:val="21"/>
                <w:sz w:val="32"/>
                <w:szCs w:val="32"/>
                <w:highlight w:val="none"/>
              </w:rPr>
            </w:pPr>
            <w:r>
              <w:rPr>
                <w:rFonts w:hint="eastAsia" w:ascii="Times New Roman" w:hAnsi="Times New Roman" w:eastAsia="方正仿宋简体" w:cs="方正仿宋简体"/>
                <w:color w:val="auto"/>
                <w:kern w:val="21"/>
                <w:sz w:val="32"/>
                <w:szCs w:val="32"/>
                <w:highlight w:val="none"/>
              </w:rPr>
              <w:t>一般</w:t>
            </w:r>
          </w:p>
        </w:tc>
        <w:tc>
          <w:tcPr>
            <w:tcW w:w="1980" w:type="dxa"/>
            <w:noWrap/>
            <w:vAlign w:val="center"/>
          </w:tcPr>
          <w:p w14:paraId="36204E66">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1500</w:t>
            </w:r>
          </w:p>
        </w:tc>
        <w:tc>
          <w:tcPr>
            <w:tcW w:w="1969" w:type="dxa"/>
            <w:noWrap/>
            <w:vAlign w:val="center"/>
          </w:tcPr>
          <w:p w14:paraId="4C07103C">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1400</w:t>
            </w:r>
          </w:p>
        </w:tc>
        <w:tc>
          <w:tcPr>
            <w:tcW w:w="2351" w:type="dxa"/>
            <w:noWrap/>
            <w:vAlign w:val="center"/>
          </w:tcPr>
          <w:p w14:paraId="200072BC">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1300</w:t>
            </w:r>
          </w:p>
        </w:tc>
      </w:tr>
      <w:tr w14:paraId="77A5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28" w:type="dxa"/>
            <w:noWrap/>
            <w:vAlign w:val="center"/>
          </w:tcPr>
          <w:p w14:paraId="45A613C3">
            <w:pPr>
              <w:keepNext w:val="0"/>
              <w:keepLines w:val="0"/>
              <w:pageBreakBefore w:val="0"/>
              <w:widowControl w:val="0"/>
              <w:topLinePunct w:val="0"/>
              <w:bidi w:val="0"/>
              <w:jc w:val="center"/>
              <w:rPr>
                <w:rFonts w:hint="eastAsia" w:ascii="Times New Roman" w:hAnsi="Times New Roman" w:eastAsia="方正仿宋简体" w:cs="方正仿宋简体"/>
                <w:color w:val="auto"/>
                <w:kern w:val="21"/>
                <w:sz w:val="32"/>
                <w:szCs w:val="32"/>
                <w:highlight w:val="none"/>
              </w:rPr>
            </w:pPr>
            <w:r>
              <w:rPr>
                <w:rFonts w:hint="eastAsia" w:ascii="Times New Roman" w:hAnsi="Times New Roman" w:eastAsia="方正仿宋简体" w:cs="方正仿宋简体"/>
                <w:color w:val="auto"/>
                <w:kern w:val="21"/>
                <w:sz w:val="32"/>
                <w:szCs w:val="32"/>
                <w:highlight w:val="none"/>
              </w:rPr>
              <w:t>主体无装修</w:t>
            </w:r>
          </w:p>
        </w:tc>
        <w:tc>
          <w:tcPr>
            <w:tcW w:w="1980" w:type="dxa"/>
            <w:noWrap/>
            <w:vAlign w:val="center"/>
          </w:tcPr>
          <w:p w14:paraId="667A43DF">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1400</w:t>
            </w:r>
          </w:p>
        </w:tc>
        <w:tc>
          <w:tcPr>
            <w:tcW w:w="1969" w:type="dxa"/>
            <w:noWrap/>
            <w:vAlign w:val="center"/>
          </w:tcPr>
          <w:p w14:paraId="7207E517">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1300</w:t>
            </w:r>
          </w:p>
        </w:tc>
        <w:tc>
          <w:tcPr>
            <w:tcW w:w="2351" w:type="dxa"/>
            <w:noWrap/>
            <w:vAlign w:val="center"/>
          </w:tcPr>
          <w:p w14:paraId="4814DB4C">
            <w:pPr>
              <w:keepNext w:val="0"/>
              <w:keepLines w:val="0"/>
              <w:pageBreakBefore w:val="0"/>
              <w:widowControl w:val="0"/>
              <w:topLinePunct w:val="0"/>
              <w:bidi w:val="0"/>
              <w:jc w:val="center"/>
              <w:rPr>
                <w:rFonts w:hint="eastAsia" w:ascii="Times New Roman" w:hAnsi="Times New Roman" w:eastAsia="方正仿宋简体" w:cs="方正仿宋简体"/>
                <w:bCs/>
                <w:color w:val="auto"/>
                <w:kern w:val="21"/>
                <w:sz w:val="32"/>
                <w:szCs w:val="32"/>
                <w:highlight w:val="none"/>
              </w:rPr>
            </w:pPr>
            <w:r>
              <w:rPr>
                <w:rFonts w:hint="eastAsia" w:ascii="Times New Roman" w:hAnsi="Times New Roman" w:eastAsia="方正仿宋简体" w:cs="方正仿宋简体"/>
                <w:bCs/>
                <w:color w:val="auto"/>
                <w:kern w:val="21"/>
                <w:sz w:val="32"/>
                <w:szCs w:val="32"/>
                <w:highlight w:val="none"/>
              </w:rPr>
              <w:t>1200</w:t>
            </w:r>
          </w:p>
        </w:tc>
      </w:tr>
    </w:tbl>
    <w:p w14:paraId="1055FED1">
      <w:pPr>
        <w:keepNext w:val="0"/>
        <w:keepLines w:val="0"/>
        <w:pageBreakBefore w:val="0"/>
        <w:widowControl w:val="0"/>
        <w:topLinePunct w:val="0"/>
        <w:bidi w:val="0"/>
        <w:spacing w:afterLines="100" w:line="600" w:lineRule="exact"/>
        <w:rPr>
          <w:rFonts w:ascii="Times New Roman" w:hAnsi="Times New Roman" w:eastAsia="黑体"/>
          <w:color w:val="auto"/>
          <w:sz w:val="32"/>
          <w:szCs w:val="30"/>
          <w:highlight w:val="none"/>
        </w:rPr>
      </w:pPr>
    </w:p>
    <w:p w14:paraId="1FAE5E4C">
      <w:pPr>
        <w:keepNext w:val="0"/>
        <w:keepLines w:val="0"/>
        <w:pageBreakBefore w:val="0"/>
        <w:widowControl w:val="0"/>
        <w:topLinePunct w:val="0"/>
        <w:bidi w:val="0"/>
        <w:spacing w:afterLines="100" w:line="600" w:lineRule="exact"/>
        <w:rPr>
          <w:rFonts w:ascii="Times New Roman" w:hAnsi="Times New Roman" w:eastAsia="黑体"/>
          <w:color w:val="auto"/>
          <w:sz w:val="32"/>
          <w:szCs w:val="30"/>
          <w:highlight w:val="none"/>
        </w:rPr>
      </w:pPr>
    </w:p>
    <w:p w14:paraId="2DB2FE21">
      <w:pPr>
        <w:keepNext w:val="0"/>
        <w:keepLines w:val="0"/>
        <w:pageBreakBefore w:val="0"/>
        <w:widowControl w:val="0"/>
        <w:topLinePunct w:val="0"/>
        <w:bidi w:val="0"/>
        <w:spacing w:afterLines="100" w:line="600" w:lineRule="exact"/>
        <w:rPr>
          <w:rFonts w:ascii="Times New Roman" w:hAnsi="Times New Roman" w:eastAsia="黑体"/>
          <w:color w:val="auto"/>
          <w:sz w:val="32"/>
          <w:szCs w:val="30"/>
          <w:highlight w:val="none"/>
        </w:rPr>
      </w:pPr>
    </w:p>
    <w:p w14:paraId="7FC8A536">
      <w:pPr>
        <w:keepNext w:val="0"/>
        <w:keepLines w:val="0"/>
        <w:pageBreakBefore w:val="0"/>
        <w:widowControl w:val="0"/>
        <w:topLinePunct w:val="0"/>
        <w:bidi w:val="0"/>
        <w:spacing w:afterLines="50" w:line="600" w:lineRule="exact"/>
        <w:rPr>
          <w:rFonts w:ascii="Times New Roman" w:hAnsi="Times New Roman" w:eastAsia="黑体"/>
          <w:color w:val="auto"/>
          <w:sz w:val="32"/>
          <w:szCs w:val="30"/>
          <w:highlight w:val="none"/>
        </w:rPr>
      </w:pPr>
    </w:p>
    <w:p w14:paraId="3270DEE1">
      <w:pPr>
        <w:keepNext w:val="0"/>
        <w:keepLines w:val="0"/>
        <w:pageBreakBefore w:val="0"/>
        <w:widowControl w:val="0"/>
        <w:topLinePunct w:val="0"/>
        <w:bidi w:val="0"/>
        <w:spacing w:afterLines="50" w:line="600" w:lineRule="exact"/>
        <w:rPr>
          <w:rFonts w:ascii="Times New Roman" w:hAnsi="Times New Roman" w:eastAsia="黑体"/>
          <w:color w:val="auto"/>
          <w:sz w:val="32"/>
          <w:szCs w:val="30"/>
          <w:highlight w:val="none"/>
        </w:rPr>
      </w:pPr>
    </w:p>
    <w:p w14:paraId="7214DA83">
      <w:pPr>
        <w:keepNext w:val="0"/>
        <w:keepLines w:val="0"/>
        <w:pageBreakBefore w:val="0"/>
        <w:widowControl w:val="0"/>
        <w:topLinePunct w:val="0"/>
        <w:bidi w:val="0"/>
        <w:spacing w:afterLines="50" w:line="600" w:lineRule="exact"/>
        <w:rPr>
          <w:rFonts w:ascii="Times New Roman" w:hAnsi="Times New Roman" w:eastAsia="黑体"/>
          <w:color w:val="auto"/>
          <w:sz w:val="32"/>
          <w:szCs w:val="30"/>
          <w:highlight w:val="none"/>
        </w:rPr>
      </w:pPr>
    </w:p>
    <w:p w14:paraId="310021EC">
      <w:pPr>
        <w:keepNext w:val="0"/>
        <w:keepLines w:val="0"/>
        <w:pageBreakBefore w:val="0"/>
        <w:widowControl w:val="0"/>
        <w:topLinePunct w:val="0"/>
        <w:bidi w:val="0"/>
        <w:spacing w:afterLines="50" w:line="600" w:lineRule="exact"/>
        <w:rPr>
          <w:rFonts w:ascii="Times New Roman" w:hAnsi="Times New Roman" w:eastAsia="黑体"/>
          <w:color w:val="auto"/>
          <w:sz w:val="32"/>
          <w:szCs w:val="30"/>
          <w:highlight w:val="none"/>
        </w:rPr>
      </w:pPr>
    </w:p>
    <w:p w14:paraId="0863EBD6">
      <w:pPr>
        <w:keepNext w:val="0"/>
        <w:keepLines w:val="0"/>
        <w:pageBreakBefore w:val="0"/>
        <w:widowControl w:val="0"/>
        <w:topLinePunct w:val="0"/>
        <w:bidi w:val="0"/>
        <w:spacing w:line="590" w:lineRule="exact"/>
        <w:rPr>
          <w:rFonts w:ascii="Times New Roman" w:hAnsi="Times New Roman" w:eastAsia="黑体"/>
          <w:color w:val="auto"/>
          <w:sz w:val="32"/>
          <w:szCs w:val="30"/>
          <w:highlight w:val="none"/>
        </w:rPr>
      </w:pPr>
      <w:r>
        <w:rPr>
          <w:rFonts w:hint="eastAsia" w:ascii="Times New Roman" w:hAnsi="Times New Roman" w:eastAsia="黑体"/>
          <w:color w:val="auto"/>
          <w:sz w:val="32"/>
          <w:szCs w:val="30"/>
          <w:highlight w:val="none"/>
        </w:rPr>
        <w:br w:type="page"/>
      </w:r>
      <w:r>
        <w:rPr>
          <w:rFonts w:hint="eastAsia" w:ascii="Times New Roman" w:hAnsi="Times New Roman" w:eastAsia="黑体"/>
          <w:color w:val="auto"/>
          <w:sz w:val="32"/>
          <w:szCs w:val="30"/>
          <w:highlight w:val="none"/>
        </w:rPr>
        <w:t>附表四</w:t>
      </w:r>
    </w:p>
    <w:p w14:paraId="072F7339">
      <w:pPr>
        <w:pStyle w:val="5"/>
        <w:keepNext w:val="0"/>
        <w:keepLines w:val="0"/>
        <w:pageBreakBefore w:val="0"/>
        <w:widowControl w:val="0"/>
        <w:topLinePunct w:val="0"/>
        <w:bidi w:val="0"/>
        <w:rPr>
          <w:rFonts w:ascii="Times New Roman" w:hAnsi="Times New Roman"/>
          <w:color w:val="auto"/>
          <w:highlight w:val="none"/>
        </w:rPr>
      </w:pPr>
    </w:p>
    <w:p w14:paraId="0E8824C1">
      <w:pPr>
        <w:keepNext w:val="0"/>
        <w:keepLines w:val="0"/>
        <w:pageBreakBefore w:val="0"/>
        <w:widowControl w:val="0"/>
        <w:topLinePunct w:val="0"/>
        <w:bidi w:val="0"/>
        <w:spacing w:line="590" w:lineRule="exact"/>
        <w:jc w:val="center"/>
        <w:rPr>
          <w:rFonts w:ascii="Times New Roman" w:hAnsi="Times New Roman" w:eastAsia="方正小标宋简体" w:cs="宋体"/>
          <w:bCs/>
          <w:color w:val="auto"/>
          <w:kern w:val="0"/>
          <w:sz w:val="44"/>
          <w:szCs w:val="44"/>
          <w:highlight w:val="none"/>
        </w:rPr>
      </w:pPr>
      <w:r>
        <w:rPr>
          <w:rFonts w:hint="eastAsia" w:ascii="Times New Roman" w:hAnsi="Times New Roman" w:eastAsia="方正小标宋简体" w:cs="宋体"/>
          <w:bCs/>
          <w:color w:val="auto"/>
          <w:kern w:val="0"/>
          <w:sz w:val="44"/>
          <w:szCs w:val="44"/>
          <w:highlight w:val="none"/>
        </w:rPr>
        <w:t>企业厂房、仓库及其</w:t>
      </w:r>
      <w:r>
        <w:rPr>
          <w:rFonts w:hint="eastAsia" w:eastAsia="方正小标宋简体" w:cs="宋体"/>
          <w:bCs/>
          <w:color w:val="auto"/>
          <w:kern w:val="0"/>
          <w:sz w:val="44"/>
          <w:szCs w:val="44"/>
          <w:highlight w:val="none"/>
          <w:lang w:eastAsia="zh-CN"/>
        </w:rPr>
        <w:t>他</w:t>
      </w:r>
      <w:r>
        <w:rPr>
          <w:rFonts w:hint="eastAsia" w:ascii="Times New Roman" w:hAnsi="Times New Roman" w:eastAsia="方正小标宋简体" w:cs="宋体"/>
          <w:bCs/>
          <w:color w:val="auto"/>
          <w:kern w:val="0"/>
          <w:sz w:val="44"/>
          <w:szCs w:val="44"/>
          <w:highlight w:val="none"/>
        </w:rPr>
        <w:t>配套用房补偿单价表</w:t>
      </w:r>
    </w:p>
    <w:p w14:paraId="7F9587E5">
      <w:pPr>
        <w:keepNext w:val="0"/>
        <w:keepLines w:val="0"/>
        <w:pageBreakBefore w:val="0"/>
        <w:widowControl w:val="0"/>
        <w:topLinePunct w:val="0"/>
        <w:bidi w:val="0"/>
        <w:spacing w:before="156" w:afterLines="50" w:line="590" w:lineRule="exact"/>
        <w:jc w:val="right"/>
        <w:rPr>
          <w:rFonts w:ascii="Times New Roman" w:hAnsi="Times New Roman" w:eastAsia="方正小标宋简体" w:cs="宋体"/>
          <w:bCs/>
          <w:color w:val="auto"/>
          <w:kern w:val="0"/>
          <w:sz w:val="44"/>
          <w:szCs w:val="44"/>
          <w:highlight w:val="none"/>
        </w:rPr>
      </w:pPr>
      <w:r>
        <w:rPr>
          <w:rFonts w:hint="eastAsia" w:ascii="Times New Roman" w:hAnsi="Times New Roman" w:eastAsia="方正仿宋简体"/>
          <w:color w:val="auto"/>
          <w:sz w:val="32"/>
          <w:szCs w:val="32"/>
          <w:highlight w:val="none"/>
        </w:rPr>
        <w:t>单位：元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w:t>
      </w:r>
    </w:p>
    <w:p w14:paraId="4C4686A2">
      <w:pPr>
        <w:pStyle w:val="5"/>
        <w:rPr>
          <w:rFonts w:ascii="Times New Roman" w:hAnsi="Times New Roman"/>
          <w:color w:val="auto"/>
          <w:highlight w:val="none"/>
        </w:rPr>
      </w:pPr>
    </w:p>
    <w:tbl>
      <w:tblPr>
        <w:tblStyle w:val="9"/>
        <w:tblpPr w:leftFromText="180" w:rightFromText="180" w:vertAnchor="text" w:horzAnchor="margin" w:tblpXSpec="center" w:tblpY="-38"/>
        <w:tblOverlap w:val="never"/>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440"/>
        <w:gridCol w:w="1440"/>
        <w:gridCol w:w="1440"/>
        <w:gridCol w:w="1440"/>
        <w:gridCol w:w="1260"/>
      </w:tblGrid>
      <w:tr w14:paraId="0270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448" w:type="dxa"/>
            <w:tcBorders>
              <w:tl2br w:val="single" w:color="auto" w:sz="4" w:space="0"/>
            </w:tcBorders>
            <w:noWrap/>
            <w:vAlign w:val="center"/>
          </w:tcPr>
          <w:p w14:paraId="569DE61C">
            <w:pPr>
              <w:keepNext w:val="0"/>
              <w:keepLines w:val="0"/>
              <w:pageBreakBefore w:val="0"/>
              <w:widowControl w:val="0"/>
              <w:topLinePunct w:val="0"/>
              <w:autoSpaceDE w:val="0"/>
              <w:autoSpaceDN w:val="0"/>
              <w:bidi w:val="0"/>
              <w:adjustRightInd w:val="0"/>
              <w:spacing w:line="380" w:lineRule="exact"/>
              <w:jc w:val="right"/>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建筑结构</w:t>
            </w:r>
          </w:p>
          <w:p w14:paraId="1C7914FA">
            <w:pPr>
              <w:keepNext w:val="0"/>
              <w:keepLines w:val="0"/>
              <w:pageBreakBefore w:val="0"/>
              <w:widowControl w:val="0"/>
              <w:topLinePunct w:val="0"/>
              <w:autoSpaceDE w:val="0"/>
              <w:autoSpaceDN w:val="0"/>
              <w:bidi w:val="0"/>
              <w:adjustRightInd w:val="0"/>
              <w:spacing w:line="380" w:lineRule="exact"/>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装修等级</w:t>
            </w:r>
          </w:p>
        </w:tc>
        <w:tc>
          <w:tcPr>
            <w:tcW w:w="1440" w:type="dxa"/>
            <w:noWrap/>
            <w:vAlign w:val="center"/>
          </w:tcPr>
          <w:p w14:paraId="302F7BA0">
            <w:pPr>
              <w:keepNext w:val="0"/>
              <w:keepLines w:val="0"/>
              <w:pageBreakBefore w:val="0"/>
              <w:widowControl w:val="0"/>
              <w:topLinePunct w:val="0"/>
              <w:autoSpaceDE w:val="0"/>
              <w:autoSpaceDN w:val="0"/>
              <w:bidi w:val="0"/>
              <w:adjustRightInd w:val="0"/>
              <w:spacing w:line="380" w:lineRule="exact"/>
              <w:jc w:val="center"/>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框架</w:t>
            </w:r>
          </w:p>
        </w:tc>
        <w:tc>
          <w:tcPr>
            <w:tcW w:w="1440" w:type="dxa"/>
            <w:noWrap/>
            <w:vAlign w:val="center"/>
          </w:tcPr>
          <w:p w14:paraId="129F3DF3">
            <w:pPr>
              <w:keepNext w:val="0"/>
              <w:keepLines w:val="0"/>
              <w:pageBreakBefore w:val="0"/>
              <w:widowControl w:val="0"/>
              <w:topLinePunct w:val="0"/>
              <w:autoSpaceDE w:val="0"/>
              <w:autoSpaceDN w:val="0"/>
              <w:bidi w:val="0"/>
              <w:adjustRightInd w:val="0"/>
              <w:spacing w:line="380" w:lineRule="exact"/>
              <w:jc w:val="center"/>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砖石混</w:t>
            </w:r>
          </w:p>
        </w:tc>
        <w:tc>
          <w:tcPr>
            <w:tcW w:w="1440" w:type="dxa"/>
            <w:noWrap/>
            <w:vAlign w:val="center"/>
          </w:tcPr>
          <w:p w14:paraId="529CC079">
            <w:pPr>
              <w:keepNext w:val="0"/>
              <w:keepLines w:val="0"/>
              <w:pageBreakBefore w:val="0"/>
              <w:widowControl w:val="0"/>
              <w:topLinePunct w:val="0"/>
              <w:autoSpaceDE w:val="0"/>
              <w:autoSpaceDN w:val="0"/>
              <w:bidi w:val="0"/>
              <w:adjustRightInd w:val="0"/>
              <w:spacing w:line="380" w:lineRule="exact"/>
              <w:jc w:val="center"/>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砖木</w:t>
            </w:r>
          </w:p>
        </w:tc>
        <w:tc>
          <w:tcPr>
            <w:tcW w:w="1440" w:type="dxa"/>
            <w:noWrap/>
            <w:vAlign w:val="center"/>
          </w:tcPr>
          <w:p w14:paraId="554FD2FD">
            <w:pPr>
              <w:keepNext w:val="0"/>
              <w:keepLines w:val="0"/>
              <w:pageBreakBefore w:val="0"/>
              <w:widowControl w:val="0"/>
              <w:topLinePunct w:val="0"/>
              <w:autoSpaceDE w:val="0"/>
              <w:autoSpaceDN w:val="0"/>
              <w:bidi w:val="0"/>
              <w:adjustRightInd w:val="0"/>
              <w:spacing w:line="380" w:lineRule="exact"/>
              <w:jc w:val="center"/>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土木</w:t>
            </w:r>
          </w:p>
        </w:tc>
        <w:tc>
          <w:tcPr>
            <w:tcW w:w="1260" w:type="dxa"/>
            <w:noWrap/>
            <w:vAlign w:val="center"/>
          </w:tcPr>
          <w:p w14:paraId="3FE8BE73">
            <w:pPr>
              <w:keepNext w:val="0"/>
              <w:keepLines w:val="0"/>
              <w:pageBreakBefore w:val="0"/>
              <w:widowControl w:val="0"/>
              <w:topLinePunct w:val="0"/>
              <w:autoSpaceDE w:val="0"/>
              <w:autoSpaceDN w:val="0"/>
              <w:bidi w:val="0"/>
              <w:adjustRightInd w:val="0"/>
              <w:spacing w:line="380" w:lineRule="exact"/>
              <w:jc w:val="center"/>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钢结构</w:t>
            </w:r>
          </w:p>
        </w:tc>
      </w:tr>
      <w:tr w14:paraId="5D7C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448" w:type="dxa"/>
            <w:noWrap/>
            <w:vAlign w:val="center"/>
          </w:tcPr>
          <w:p w14:paraId="7A451092">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仿宋简体"/>
                <w:color w:val="auto"/>
                <w:kern w:val="0"/>
                <w:sz w:val="32"/>
                <w:szCs w:val="32"/>
                <w:highlight w:val="none"/>
              </w:rPr>
            </w:pPr>
            <w:r>
              <w:rPr>
                <w:rFonts w:hint="eastAsia" w:ascii="Times New Roman" w:hAnsi="Times New Roman" w:eastAsia="方正仿宋简体"/>
                <w:color w:val="auto"/>
                <w:kern w:val="0"/>
                <w:sz w:val="32"/>
                <w:szCs w:val="32"/>
                <w:highlight w:val="none"/>
              </w:rPr>
              <w:t>较好</w:t>
            </w:r>
          </w:p>
        </w:tc>
        <w:tc>
          <w:tcPr>
            <w:tcW w:w="1440" w:type="dxa"/>
            <w:noWrap/>
            <w:vAlign w:val="center"/>
          </w:tcPr>
          <w:p w14:paraId="316F855F">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1</w:t>
            </w:r>
            <w:r>
              <w:rPr>
                <w:rFonts w:hint="eastAsia" w:ascii="Times New Roman" w:hAnsi="Times New Roman"/>
                <w:color w:val="auto"/>
                <w:kern w:val="0"/>
                <w:sz w:val="32"/>
                <w:szCs w:val="32"/>
                <w:highlight w:val="none"/>
              </w:rPr>
              <w:t>5</w:t>
            </w:r>
            <w:r>
              <w:rPr>
                <w:rFonts w:ascii="Times New Roman" w:hAnsi="Times New Roman"/>
                <w:color w:val="auto"/>
                <w:kern w:val="0"/>
                <w:sz w:val="32"/>
                <w:szCs w:val="32"/>
                <w:highlight w:val="none"/>
              </w:rPr>
              <w:t>00</w:t>
            </w:r>
          </w:p>
        </w:tc>
        <w:tc>
          <w:tcPr>
            <w:tcW w:w="1440" w:type="dxa"/>
            <w:noWrap/>
            <w:vAlign w:val="center"/>
          </w:tcPr>
          <w:p w14:paraId="6C3DB950">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1</w:t>
            </w:r>
            <w:r>
              <w:rPr>
                <w:rFonts w:hint="eastAsia" w:ascii="Times New Roman" w:hAnsi="Times New Roman"/>
                <w:color w:val="auto"/>
                <w:kern w:val="0"/>
                <w:sz w:val="32"/>
                <w:szCs w:val="32"/>
                <w:highlight w:val="none"/>
              </w:rPr>
              <w:t>3</w:t>
            </w:r>
            <w:r>
              <w:rPr>
                <w:rFonts w:ascii="Times New Roman" w:hAnsi="Times New Roman"/>
                <w:color w:val="auto"/>
                <w:kern w:val="0"/>
                <w:sz w:val="32"/>
                <w:szCs w:val="32"/>
                <w:highlight w:val="none"/>
              </w:rPr>
              <w:t>80</w:t>
            </w:r>
          </w:p>
        </w:tc>
        <w:tc>
          <w:tcPr>
            <w:tcW w:w="1440" w:type="dxa"/>
            <w:noWrap/>
            <w:vAlign w:val="center"/>
          </w:tcPr>
          <w:p w14:paraId="722A3823">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hint="eastAsia" w:ascii="Times New Roman" w:hAnsi="Times New Roman"/>
                <w:color w:val="auto"/>
                <w:kern w:val="0"/>
                <w:sz w:val="32"/>
                <w:szCs w:val="32"/>
                <w:highlight w:val="none"/>
              </w:rPr>
              <w:t>10</w:t>
            </w:r>
            <w:r>
              <w:rPr>
                <w:rFonts w:ascii="Times New Roman" w:hAnsi="Times New Roman"/>
                <w:color w:val="auto"/>
                <w:kern w:val="0"/>
                <w:sz w:val="32"/>
                <w:szCs w:val="32"/>
                <w:highlight w:val="none"/>
              </w:rPr>
              <w:t>00</w:t>
            </w:r>
          </w:p>
        </w:tc>
        <w:tc>
          <w:tcPr>
            <w:tcW w:w="1440" w:type="dxa"/>
            <w:noWrap/>
            <w:vAlign w:val="center"/>
          </w:tcPr>
          <w:p w14:paraId="5351196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hint="eastAsia" w:ascii="Times New Roman" w:hAnsi="Times New Roman"/>
                <w:color w:val="auto"/>
                <w:kern w:val="0"/>
                <w:sz w:val="32"/>
                <w:szCs w:val="32"/>
                <w:highlight w:val="none"/>
              </w:rPr>
              <w:t>9</w:t>
            </w:r>
            <w:r>
              <w:rPr>
                <w:rFonts w:ascii="Times New Roman" w:hAnsi="Times New Roman"/>
                <w:color w:val="auto"/>
                <w:kern w:val="0"/>
                <w:sz w:val="32"/>
                <w:szCs w:val="32"/>
                <w:highlight w:val="none"/>
              </w:rPr>
              <w:t>50</w:t>
            </w:r>
          </w:p>
        </w:tc>
        <w:tc>
          <w:tcPr>
            <w:tcW w:w="1260" w:type="dxa"/>
            <w:noWrap/>
            <w:vAlign w:val="center"/>
          </w:tcPr>
          <w:p w14:paraId="383498E5">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750</w:t>
            </w:r>
          </w:p>
        </w:tc>
      </w:tr>
      <w:tr w14:paraId="5AF9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448" w:type="dxa"/>
            <w:noWrap/>
            <w:vAlign w:val="center"/>
          </w:tcPr>
          <w:p w14:paraId="11DC95C8">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仿宋简体"/>
                <w:color w:val="auto"/>
                <w:kern w:val="0"/>
                <w:sz w:val="32"/>
                <w:szCs w:val="32"/>
                <w:highlight w:val="none"/>
              </w:rPr>
            </w:pPr>
            <w:r>
              <w:rPr>
                <w:rFonts w:hint="eastAsia" w:ascii="Times New Roman" w:hAnsi="Times New Roman" w:eastAsia="方正仿宋简体"/>
                <w:color w:val="auto"/>
                <w:kern w:val="0"/>
                <w:sz w:val="32"/>
                <w:szCs w:val="32"/>
                <w:highlight w:val="none"/>
              </w:rPr>
              <w:t>一般</w:t>
            </w:r>
          </w:p>
        </w:tc>
        <w:tc>
          <w:tcPr>
            <w:tcW w:w="1440" w:type="dxa"/>
            <w:noWrap/>
            <w:vAlign w:val="center"/>
          </w:tcPr>
          <w:p w14:paraId="6FCBD765">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1</w:t>
            </w:r>
            <w:r>
              <w:rPr>
                <w:rFonts w:hint="eastAsia" w:ascii="Times New Roman" w:hAnsi="Times New Roman"/>
                <w:color w:val="auto"/>
                <w:kern w:val="0"/>
                <w:sz w:val="32"/>
                <w:szCs w:val="32"/>
                <w:highlight w:val="none"/>
              </w:rPr>
              <w:t>3</w:t>
            </w:r>
            <w:r>
              <w:rPr>
                <w:rFonts w:ascii="Times New Roman" w:hAnsi="Times New Roman"/>
                <w:color w:val="auto"/>
                <w:kern w:val="0"/>
                <w:sz w:val="32"/>
                <w:szCs w:val="32"/>
                <w:highlight w:val="none"/>
              </w:rPr>
              <w:t>50</w:t>
            </w:r>
          </w:p>
        </w:tc>
        <w:tc>
          <w:tcPr>
            <w:tcW w:w="1440" w:type="dxa"/>
            <w:noWrap/>
            <w:vAlign w:val="center"/>
          </w:tcPr>
          <w:p w14:paraId="12810785">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1</w:t>
            </w:r>
            <w:r>
              <w:rPr>
                <w:rFonts w:hint="eastAsia" w:ascii="Times New Roman" w:hAnsi="Times New Roman"/>
                <w:color w:val="auto"/>
                <w:kern w:val="0"/>
                <w:sz w:val="32"/>
                <w:szCs w:val="32"/>
                <w:highlight w:val="none"/>
              </w:rPr>
              <w:t>2</w:t>
            </w:r>
            <w:r>
              <w:rPr>
                <w:rFonts w:ascii="Times New Roman" w:hAnsi="Times New Roman"/>
                <w:color w:val="auto"/>
                <w:kern w:val="0"/>
                <w:sz w:val="32"/>
                <w:szCs w:val="32"/>
                <w:highlight w:val="none"/>
              </w:rPr>
              <w:t>50</w:t>
            </w:r>
          </w:p>
        </w:tc>
        <w:tc>
          <w:tcPr>
            <w:tcW w:w="1440" w:type="dxa"/>
            <w:noWrap/>
            <w:vAlign w:val="center"/>
          </w:tcPr>
          <w:p w14:paraId="21BD2F52">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hint="eastAsia" w:ascii="Times New Roman" w:hAnsi="Times New Roman"/>
                <w:color w:val="auto"/>
                <w:kern w:val="0"/>
                <w:sz w:val="32"/>
                <w:szCs w:val="32"/>
                <w:highlight w:val="none"/>
              </w:rPr>
              <w:t>8</w:t>
            </w:r>
            <w:r>
              <w:rPr>
                <w:rFonts w:ascii="Times New Roman" w:hAnsi="Times New Roman"/>
                <w:color w:val="auto"/>
                <w:kern w:val="0"/>
                <w:sz w:val="32"/>
                <w:szCs w:val="32"/>
                <w:highlight w:val="none"/>
              </w:rPr>
              <w:t>50</w:t>
            </w:r>
          </w:p>
        </w:tc>
        <w:tc>
          <w:tcPr>
            <w:tcW w:w="1440" w:type="dxa"/>
            <w:noWrap/>
            <w:vAlign w:val="center"/>
          </w:tcPr>
          <w:p w14:paraId="6D22DDE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hint="eastAsia" w:ascii="Times New Roman" w:hAnsi="Times New Roman"/>
                <w:color w:val="auto"/>
                <w:kern w:val="0"/>
                <w:sz w:val="32"/>
                <w:szCs w:val="32"/>
                <w:highlight w:val="none"/>
              </w:rPr>
              <w:t>8</w:t>
            </w:r>
            <w:r>
              <w:rPr>
                <w:rFonts w:ascii="Times New Roman" w:hAnsi="Times New Roman"/>
                <w:color w:val="auto"/>
                <w:kern w:val="0"/>
                <w:sz w:val="32"/>
                <w:szCs w:val="32"/>
                <w:highlight w:val="none"/>
              </w:rPr>
              <w:t>00</w:t>
            </w:r>
          </w:p>
        </w:tc>
        <w:tc>
          <w:tcPr>
            <w:tcW w:w="1260" w:type="dxa"/>
            <w:noWrap/>
            <w:vAlign w:val="center"/>
          </w:tcPr>
          <w:p w14:paraId="6F8E6A8E">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650</w:t>
            </w:r>
          </w:p>
        </w:tc>
      </w:tr>
      <w:tr w14:paraId="7298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448" w:type="dxa"/>
            <w:noWrap/>
            <w:vAlign w:val="center"/>
          </w:tcPr>
          <w:p w14:paraId="488EF9C4">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仿宋简体"/>
                <w:color w:val="auto"/>
                <w:kern w:val="0"/>
                <w:sz w:val="32"/>
                <w:szCs w:val="32"/>
                <w:highlight w:val="none"/>
              </w:rPr>
            </w:pPr>
            <w:r>
              <w:rPr>
                <w:rFonts w:hint="eastAsia" w:ascii="Times New Roman" w:hAnsi="Times New Roman" w:eastAsia="方正仿宋简体"/>
                <w:color w:val="auto"/>
                <w:kern w:val="0"/>
                <w:sz w:val="32"/>
                <w:szCs w:val="32"/>
                <w:highlight w:val="none"/>
              </w:rPr>
              <w:t>主体无装修</w:t>
            </w:r>
          </w:p>
        </w:tc>
        <w:tc>
          <w:tcPr>
            <w:tcW w:w="1440" w:type="dxa"/>
            <w:noWrap/>
            <w:vAlign w:val="center"/>
          </w:tcPr>
          <w:p w14:paraId="28A214C3">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1</w:t>
            </w:r>
            <w:r>
              <w:rPr>
                <w:rFonts w:hint="eastAsia" w:ascii="Times New Roman" w:hAnsi="Times New Roman"/>
                <w:color w:val="auto"/>
                <w:kern w:val="0"/>
                <w:sz w:val="32"/>
                <w:szCs w:val="32"/>
                <w:highlight w:val="none"/>
              </w:rPr>
              <w:t>1</w:t>
            </w:r>
            <w:r>
              <w:rPr>
                <w:rFonts w:ascii="Times New Roman" w:hAnsi="Times New Roman"/>
                <w:color w:val="auto"/>
                <w:kern w:val="0"/>
                <w:sz w:val="32"/>
                <w:szCs w:val="32"/>
                <w:highlight w:val="none"/>
              </w:rPr>
              <w:t>50</w:t>
            </w:r>
          </w:p>
        </w:tc>
        <w:tc>
          <w:tcPr>
            <w:tcW w:w="1440" w:type="dxa"/>
            <w:noWrap/>
            <w:vAlign w:val="center"/>
          </w:tcPr>
          <w:p w14:paraId="795243A2">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1</w:t>
            </w:r>
            <w:r>
              <w:rPr>
                <w:rFonts w:hint="eastAsia" w:ascii="Times New Roman" w:hAnsi="Times New Roman"/>
                <w:color w:val="auto"/>
                <w:kern w:val="0"/>
                <w:sz w:val="32"/>
                <w:szCs w:val="32"/>
                <w:highlight w:val="none"/>
              </w:rPr>
              <w:t>1</w:t>
            </w:r>
            <w:r>
              <w:rPr>
                <w:rFonts w:ascii="Times New Roman" w:hAnsi="Times New Roman"/>
                <w:color w:val="auto"/>
                <w:kern w:val="0"/>
                <w:sz w:val="32"/>
                <w:szCs w:val="32"/>
                <w:highlight w:val="none"/>
              </w:rPr>
              <w:t>00</w:t>
            </w:r>
          </w:p>
        </w:tc>
        <w:tc>
          <w:tcPr>
            <w:tcW w:w="1440" w:type="dxa"/>
            <w:noWrap/>
            <w:vAlign w:val="center"/>
          </w:tcPr>
          <w:p w14:paraId="77D9441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hint="eastAsia" w:ascii="Times New Roman" w:hAnsi="Times New Roman"/>
                <w:color w:val="auto"/>
                <w:kern w:val="0"/>
                <w:sz w:val="32"/>
                <w:szCs w:val="32"/>
                <w:highlight w:val="none"/>
              </w:rPr>
              <w:t>7</w:t>
            </w:r>
            <w:r>
              <w:rPr>
                <w:rFonts w:ascii="Times New Roman" w:hAnsi="Times New Roman"/>
                <w:color w:val="auto"/>
                <w:kern w:val="0"/>
                <w:sz w:val="32"/>
                <w:szCs w:val="32"/>
                <w:highlight w:val="none"/>
              </w:rPr>
              <w:t>50</w:t>
            </w:r>
          </w:p>
        </w:tc>
        <w:tc>
          <w:tcPr>
            <w:tcW w:w="1440" w:type="dxa"/>
            <w:noWrap/>
            <w:vAlign w:val="center"/>
          </w:tcPr>
          <w:p w14:paraId="693693E5">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hint="eastAsia" w:ascii="Times New Roman" w:hAnsi="Times New Roman"/>
                <w:color w:val="auto"/>
                <w:kern w:val="0"/>
                <w:sz w:val="32"/>
                <w:szCs w:val="32"/>
                <w:highlight w:val="none"/>
              </w:rPr>
              <w:t>7</w:t>
            </w:r>
            <w:r>
              <w:rPr>
                <w:rFonts w:ascii="Times New Roman" w:hAnsi="Times New Roman"/>
                <w:color w:val="auto"/>
                <w:kern w:val="0"/>
                <w:sz w:val="32"/>
                <w:szCs w:val="32"/>
                <w:highlight w:val="none"/>
              </w:rPr>
              <w:t>00</w:t>
            </w:r>
          </w:p>
        </w:tc>
        <w:tc>
          <w:tcPr>
            <w:tcW w:w="1260" w:type="dxa"/>
            <w:noWrap/>
            <w:vAlign w:val="center"/>
          </w:tcPr>
          <w:p w14:paraId="039C5289">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400</w:t>
            </w:r>
          </w:p>
        </w:tc>
      </w:tr>
      <w:tr w14:paraId="436C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jc w:val="center"/>
        </w:trPr>
        <w:tc>
          <w:tcPr>
            <w:tcW w:w="9468" w:type="dxa"/>
            <w:gridSpan w:val="6"/>
            <w:noWrap/>
            <w:vAlign w:val="center"/>
          </w:tcPr>
          <w:p w14:paraId="57EA545D">
            <w:pPr>
              <w:keepNext w:val="0"/>
              <w:keepLines w:val="0"/>
              <w:pageBreakBefore w:val="0"/>
              <w:widowControl w:val="0"/>
              <w:tabs>
                <w:tab w:val="left" w:pos="533"/>
              </w:tabs>
              <w:kinsoku/>
              <w:wordWrap/>
              <w:overflowPunct/>
              <w:topLinePunct w:val="0"/>
              <w:autoSpaceDE/>
              <w:autoSpaceDN/>
              <w:bidi w:val="0"/>
              <w:adjustRightInd/>
              <w:snapToGrid/>
              <w:spacing w:line="560" w:lineRule="exact"/>
              <w:textAlignment w:val="auto"/>
              <w:rPr>
                <w:rFonts w:ascii="Times New Roman" w:hAnsi="Times New Roman" w:eastAsia="方正仿宋简体"/>
                <w:b/>
                <w:bCs/>
                <w:color w:val="auto"/>
                <w:kern w:val="0"/>
                <w:sz w:val="32"/>
                <w:szCs w:val="32"/>
                <w:highlight w:val="none"/>
              </w:rPr>
            </w:pPr>
            <w:r>
              <w:rPr>
                <w:rFonts w:hint="eastAsia" w:ascii="Times New Roman" w:hAnsi="Times New Roman" w:eastAsia="方正仿宋简体"/>
                <w:b/>
                <w:bCs/>
                <w:color w:val="auto"/>
                <w:kern w:val="0"/>
                <w:sz w:val="32"/>
                <w:szCs w:val="32"/>
                <w:highlight w:val="none"/>
              </w:rPr>
              <w:t>备注：</w:t>
            </w:r>
          </w:p>
          <w:p w14:paraId="2220A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auto"/>
                <w:kern w:val="0"/>
                <w:sz w:val="32"/>
                <w:szCs w:val="32"/>
                <w:highlight w:val="none"/>
              </w:rPr>
            </w:pPr>
            <w:r>
              <w:rPr>
                <w:rFonts w:ascii="Times New Roman" w:hAnsi="Times New Roman" w:eastAsia="方正仿宋简体"/>
                <w:color w:val="auto"/>
                <w:kern w:val="0"/>
                <w:sz w:val="32"/>
                <w:szCs w:val="32"/>
                <w:highlight w:val="none"/>
              </w:rPr>
              <w:t>1</w:t>
            </w:r>
            <w:r>
              <w:rPr>
                <w:rFonts w:hint="eastAsia" w:ascii="Times New Roman" w:hAnsi="Times New Roman" w:eastAsia="方正仿宋简体"/>
                <w:color w:val="auto"/>
                <w:spacing w:val="-6"/>
                <w:sz w:val="30"/>
                <w:szCs w:val="30"/>
                <w:highlight w:val="none"/>
              </w:rPr>
              <w:t>．</w:t>
            </w:r>
            <w:r>
              <w:rPr>
                <w:rFonts w:hint="eastAsia" w:ascii="Times New Roman" w:hAnsi="Times New Roman" w:eastAsia="方正仿宋简体"/>
                <w:color w:val="auto"/>
                <w:kern w:val="0"/>
                <w:sz w:val="32"/>
                <w:szCs w:val="32"/>
                <w:highlight w:val="none"/>
              </w:rPr>
              <w:t>钢结构的认定标准：承重柱应是混凝土柱或钢管柱、工字钢、槽钢立柱，机砖或空心砖围护墙，屋面为彩钢板，跨度</w:t>
            </w:r>
            <w:r>
              <w:rPr>
                <w:rFonts w:ascii="Times New Roman" w:hAnsi="Times New Roman"/>
                <w:color w:val="auto"/>
                <w:sz w:val="32"/>
                <w:szCs w:val="32"/>
                <w:highlight w:val="none"/>
              </w:rPr>
              <w:t>8</w:t>
            </w:r>
            <w:r>
              <w:rPr>
                <w:rFonts w:hint="eastAsia" w:ascii="Times New Roman" w:hAnsi="Times New Roman" w:eastAsia="方正仿宋简体"/>
                <w:color w:val="auto"/>
                <w:kern w:val="0"/>
                <w:sz w:val="32"/>
                <w:szCs w:val="32"/>
                <w:highlight w:val="none"/>
              </w:rPr>
              <w:t>米以上。</w:t>
            </w:r>
          </w:p>
          <w:p w14:paraId="23E30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auto"/>
                <w:sz w:val="32"/>
                <w:szCs w:val="32"/>
                <w:highlight w:val="none"/>
              </w:rPr>
            </w:pPr>
            <w:r>
              <w:rPr>
                <w:rFonts w:ascii="Times New Roman" w:hAnsi="Times New Roman" w:eastAsia="方正仿宋简体"/>
                <w:color w:val="auto"/>
                <w:sz w:val="32"/>
                <w:szCs w:val="32"/>
                <w:highlight w:val="none"/>
              </w:rPr>
              <w:t>2</w:t>
            </w:r>
            <w:r>
              <w:rPr>
                <w:rFonts w:hint="eastAsia" w:ascii="Times New Roman" w:hAnsi="Times New Roman" w:eastAsia="方正仿宋简体"/>
                <w:color w:val="auto"/>
                <w:spacing w:val="-6"/>
                <w:sz w:val="30"/>
                <w:szCs w:val="30"/>
                <w:highlight w:val="none"/>
              </w:rPr>
              <w:t>．</w:t>
            </w:r>
            <w:r>
              <w:rPr>
                <w:rFonts w:hint="eastAsia" w:ascii="Times New Roman" w:hAnsi="Times New Roman" w:eastAsia="方正仿宋简体"/>
                <w:color w:val="auto"/>
                <w:sz w:val="32"/>
                <w:szCs w:val="32"/>
                <w:highlight w:val="none"/>
              </w:rPr>
              <w:t>以上厂房层高超过</w:t>
            </w:r>
            <w:r>
              <w:rPr>
                <w:rFonts w:ascii="Times New Roman" w:hAnsi="Times New Roman"/>
                <w:color w:val="auto"/>
                <w:sz w:val="32"/>
                <w:szCs w:val="32"/>
                <w:highlight w:val="none"/>
              </w:rPr>
              <w:t>4</w:t>
            </w:r>
            <w:r>
              <w:rPr>
                <w:rFonts w:hint="eastAsia" w:ascii="Times New Roman" w:hAnsi="Times New Roman" w:eastAsia="方正仿宋简体"/>
                <w:color w:val="auto"/>
                <w:sz w:val="32"/>
                <w:szCs w:val="32"/>
                <w:highlight w:val="none"/>
              </w:rPr>
              <w:t>米的，超过部分计算公式：（</w:t>
            </w:r>
            <w:r>
              <w:rPr>
                <w:rFonts w:hint="eastAsia" w:eastAsia="方正仿宋简体"/>
                <w:color w:val="auto"/>
                <w:sz w:val="32"/>
                <w:szCs w:val="32"/>
                <w:highlight w:val="none"/>
                <w:lang w:eastAsia="zh-CN"/>
              </w:rPr>
              <w:t>（</w:t>
            </w:r>
            <w:r>
              <w:rPr>
                <w:rFonts w:hint="eastAsia" w:ascii="Times New Roman" w:hAnsi="Times New Roman" w:eastAsia="方正仿宋简体"/>
                <w:color w:val="auto"/>
                <w:sz w:val="32"/>
                <w:szCs w:val="32"/>
                <w:highlight w:val="none"/>
              </w:rPr>
              <w:t>实际高度</w:t>
            </w:r>
            <w:r>
              <w:rPr>
                <w:rFonts w:ascii="Times New Roman" w:hAnsi="Times New Roman" w:eastAsia="方正仿宋简体"/>
                <w:color w:val="auto"/>
                <w:sz w:val="32"/>
                <w:szCs w:val="32"/>
                <w:highlight w:val="none"/>
              </w:rPr>
              <w:t>-</w:t>
            </w:r>
            <w:r>
              <w:rPr>
                <w:rFonts w:ascii="Times New Roman" w:hAnsi="Times New Roman"/>
                <w:color w:val="auto"/>
                <w:sz w:val="32"/>
                <w:szCs w:val="32"/>
                <w:highlight w:val="none"/>
              </w:rPr>
              <w:t>4</w:t>
            </w:r>
            <w:r>
              <w:rPr>
                <w:rFonts w:hint="eastAsia" w:ascii="Times New Roman" w:hAnsi="Times New Roman" w:eastAsia="方正仿宋简体"/>
                <w:color w:val="auto"/>
                <w:sz w:val="32"/>
                <w:szCs w:val="32"/>
                <w:highlight w:val="none"/>
              </w:rPr>
              <w:t>米）</w:t>
            </w:r>
            <w:r>
              <w:rPr>
                <w:rFonts w:ascii="Times New Roman" w:hAnsi="Times New Roman" w:eastAsia="方正仿宋简体"/>
                <w:color w:val="auto"/>
                <w:sz w:val="32"/>
                <w:szCs w:val="32"/>
                <w:highlight w:val="none"/>
              </w:rPr>
              <w:t>×</w:t>
            </w:r>
            <w:r>
              <w:rPr>
                <w:rFonts w:ascii="Times New Roman" w:hAnsi="Times New Roman"/>
                <w:color w:val="auto"/>
                <w:sz w:val="32"/>
                <w:szCs w:val="32"/>
                <w:highlight w:val="none"/>
              </w:rPr>
              <w:t>5%</w:t>
            </w:r>
            <w:r>
              <w:rPr>
                <w:rFonts w:hint="eastAsia" w:ascii="Times New Roman" w:hAnsi="Times New Roman" w:eastAsia="方正仿宋简体"/>
                <w:color w:val="auto"/>
                <w:sz w:val="32"/>
                <w:szCs w:val="32"/>
                <w:highlight w:val="none"/>
              </w:rPr>
              <w:t>）</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补偿单价。</w:t>
            </w:r>
          </w:p>
          <w:p w14:paraId="60F04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olor w:val="auto"/>
                <w:kern w:val="0"/>
                <w:sz w:val="32"/>
                <w:szCs w:val="32"/>
                <w:highlight w:val="none"/>
              </w:rPr>
            </w:pPr>
            <w:r>
              <w:rPr>
                <w:rFonts w:ascii="Times New Roman" w:hAnsi="Times New Roman" w:eastAsia="方正仿宋简体"/>
                <w:color w:val="auto"/>
                <w:kern w:val="0"/>
                <w:sz w:val="32"/>
                <w:szCs w:val="32"/>
                <w:highlight w:val="none"/>
              </w:rPr>
              <w:t>3</w:t>
            </w:r>
            <w:r>
              <w:rPr>
                <w:rFonts w:hint="eastAsia" w:ascii="Times New Roman" w:hAnsi="Times New Roman" w:eastAsia="方正仿宋简体"/>
                <w:color w:val="auto"/>
                <w:spacing w:val="-6"/>
                <w:sz w:val="30"/>
                <w:szCs w:val="30"/>
                <w:highlight w:val="none"/>
              </w:rPr>
              <w:t>．</w:t>
            </w:r>
            <w:r>
              <w:rPr>
                <w:rFonts w:hint="eastAsia" w:ascii="Times New Roman" w:hAnsi="Times New Roman" w:eastAsia="方正仿宋简体"/>
                <w:color w:val="auto"/>
                <w:kern w:val="0"/>
                <w:sz w:val="32"/>
                <w:szCs w:val="32"/>
                <w:highlight w:val="none"/>
              </w:rPr>
              <w:t>厂区内若有整幢作为展厅、办公室或宿舍的房屋，其补偿单价按每种类型的结构各增加</w:t>
            </w:r>
            <w:r>
              <w:rPr>
                <w:rFonts w:ascii="Times New Roman" w:hAnsi="Times New Roman"/>
                <w:color w:val="auto"/>
                <w:sz w:val="32"/>
                <w:szCs w:val="32"/>
                <w:highlight w:val="none"/>
              </w:rPr>
              <w:t>200</w:t>
            </w:r>
            <w:r>
              <w:rPr>
                <w:rFonts w:hint="eastAsia" w:ascii="Times New Roman" w:hAnsi="Times New Roman" w:eastAsia="方正仿宋简体"/>
                <w:color w:val="auto"/>
                <w:kern w:val="0"/>
                <w:sz w:val="32"/>
                <w:szCs w:val="32"/>
                <w:highlight w:val="none"/>
              </w:rPr>
              <w:t>元／</w:t>
            </w:r>
            <w:r>
              <w:rPr>
                <w:rFonts w:hint="eastAsia" w:ascii="Times New Roman" w:hAnsi="Times New Roman" w:eastAsia="仿宋"/>
                <w:color w:val="auto"/>
                <w:kern w:val="0"/>
                <w:sz w:val="32"/>
                <w:szCs w:val="32"/>
                <w:highlight w:val="none"/>
              </w:rPr>
              <w:t>㎡</w:t>
            </w:r>
            <w:r>
              <w:rPr>
                <w:rFonts w:hint="eastAsia" w:ascii="Times New Roman" w:hAnsi="Times New Roman" w:eastAsia="方正仿宋简体"/>
                <w:color w:val="auto"/>
                <w:kern w:val="0"/>
                <w:sz w:val="32"/>
                <w:szCs w:val="32"/>
                <w:highlight w:val="none"/>
              </w:rPr>
              <w:t>给予补偿。</w:t>
            </w:r>
          </w:p>
        </w:tc>
      </w:tr>
    </w:tbl>
    <w:p w14:paraId="0DA13528">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7EF5B6C9">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202206EB">
      <w:pPr>
        <w:rPr>
          <w:rFonts w:hint="eastAsia" w:ascii="Times New Roman" w:hAnsi="Times New Roman" w:eastAsia="黑体"/>
          <w:color w:val="auto"/>
          <w:sz w:val="32"/>
          <w:szCs w:val="30"/>
          <w:highlight w:val="none"/>
        </w:rPr>
      </w:pPr>
      <w:r>
        <w:rPr>
          <w:rFonts w:hint="eastAsia" w:ascii="Times New Roman" w:hAnsi="Times New Roman" w:eastAsia="黑体"/>
          <w:color w:val="auto"/>
          <w:sz w:val="32"/>
          <w:szCs w:val="30"/>
          <w:highlight w:val="none"/>
        </w:rPr>
        <w:br w:type="page"/>
      </w:r>
    </w:p>
    <w:p w14:paraId="303A6887">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r>
        <w:rPr>
          <w:rFonts w:hint="eastAsia" w:ascii="Times New Roman" w:hAnsi="Times New Roman" w:eastAsia="黑体"/>
          <w:color w:val="auto"/>
          <w:sz w:val="32"/>
          <w:szCs w:val="30"/>
          <w:highlight w:val="none"/>
        </w:rPr>
        <w:t>附表五</w:t>
      </w:r>
    </w:p>
    <w:p w14:paraId="68F87D59">
      <w:pPr>
        <w:keepNext w:val="0"/>
        <w:keepLines w:val="0"/>
        <w:pageBreakBefore w:val="0"/>
        <w:widowControl w:val="0"/>
        <w:topLinePunct w:val="0"/>
        <w:bidi w:val="0"/>
        <w:spacing w:line="520" w:lineRule="exact"/>
        <w:jc w:val="center"/>
        <w:rPr>
          <w:rFonts w:ascii="Times New Roman" w:hAnsi="Times New Roman" w:eastAsia="方正小标宋简体" w:cs="宋体"/>
          <w:bCs/>
          <w:color w:val="auto"/>
          <w:kern w:val="0"/>
          <w:sz w:val="44"/>
          <w:szCs w:val="44"/>
          <w:highlight w:val="none"/>
        </w:rPr>
      </w:pPr>
      <w:r>
        <w:rPr>
          <w:rFonts w:hint="eastAsia" w:ascii="Times New Roman" w:hAnsi="Times New Roman" w:eastAsia="方正小标宋简体" w:cs="宋体"/>
          <w:bCs/>
          <w:color w:val="auto"/>
          <w:kern w:val="0"/>
          <w:sz w:val="44"/>
          <w:szCs w:val="44"/>
          <w:highlight w:val="none"/>
        </w:rPr>
        <w:t>设备搬迁补助标准</w:t>
      </w:r>
    </w:p>
    <w:p w14:paraId="26FE85B3">
      <w:pPr>
        <w:keepNext w:val="0"/>
        <w:keepLines w:val="0"/>
        <w:pageBreakBefore w:val="0"/>
        <w:widowControl w:val="0"/>
        <w:topLinePunct w:val="0"/>
        <w:bidi w:val="0"/>
        <w:spacing w:line="520" w:lineRule="exact"/>
        <w:jc w:val="center"/>
        <w:rPr>
          <w:rFonts w:ascii="Times New Roman" w:hAnsi="Times New Roman" w:eastAsia="方正小标宋_GBK"/>
          <w:b/>
          <w:color w:val="auto"/>
          <w:sz w:val="44"/>
          <w:szCs w:val="4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55"/>
      </w:tblGrid>
      <w:tr w14:paraId="31AC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267" w:type="dxa"/>
            <w:noWrap/>
            <w:vAlign w:val="center"/>
          </w:tcPr>
          <w:p w14:paraId="035B0E6C">
            <w:pPr>
              <w:keepNext w:val="0"/>
              <w:keepLines w:val="0"/>
              <w:pageBreakBefore w:val="0"/>
              <w:widowControl w:val="0"/>
              <w:topLinePunct w:val="0"/>
              <w:bidi w:val="0"/>
              <w:spacing w:line="520" w:lineRule="exact"/>
              <w:jc w:val="center"/>
              <w:rPr>
                <w:rFonts w:ascii="Times New Roman" w:hAnsi="Times New Roman" w:eastAsia="方正仿宋简体"/>
                <w:b/>
                <w:color w:val="auto"/>
                <w:sz w:val="32"/>
                <w:szCs w:val="32"/>
                <w:highlight w:val="none"/>
              </w:rPr>
            </w:pPr>
            <w:r>
              <w:rPr>
                <w:rFonts w:hint="eastAsia" w:ascii="Times New Roman" w:hAnsi="Times New Roman" w:eastAsia="方正仿宋简体"/>
                <w:b/>
                <w:color w:val="auto"/>
                <w:sz w:val="32"/>
                <w:szCs w:val="32"/>
                <w:highlight w:val="none"/>
              </w:rPr>
              <w:t>设备名称</w:t>
            </w:r>
          </w:p>
        </w:tc>
        <w:tc>
          <w:tcPr>
            <w:tcW w:w="4255" w:type="dxa"/>
            <w:noWrap/>
            <w:vAlign w:val="center"/>
          </w:tcPr>
          <w:p w14:paraId="7BE9590A">
            <w:pPr>
              <w:keepNext w:val="0"/>
              <w:keepLines w:val="0"/>
              <w:pageBreakBefore w:val="0"/>
              <w:widowControl w:val="0"/>
              <w:topLinePunct w:val="0"/>
              <w:bidi w:val="0"/>
              <w:spacing w:line="520" w:lineRule="exact"/>
              <w:jc w:val="center"/>
              <w:rPr>
                <w:rFonts w:ascii="Times New Roman" w:hAnsi="Times New Roman" w:eastAsia="方正仿宋简体"/>
                <w:b/>
                <w:color w:val="auto"/>
                <w:sz w:val="32"/>
                <w:szCs w:val="32"/>
                <w:highlight w:val="none"/>
              </w:rPr>
            </w:pPr>
            <w:r>
              <w:rPr>
                <w:rFonts w:hint="eastAsia" w:ascii="Times New Roman" w:hAnsi="Times New Roman" w:eastAsia="方正仿宋简体"/>
                <w:b/>
                <w:color w:val="auto"/>
                <w:sz w:val="32"/>
                <w:szCs w:val="32"/>
                <w:highlight w:val="none"/>
              </w:rPr>
              <w:t>补助单价</w:t>
            </w:r>
          </w:p>
        </w:tc>
      </w:tr>
      <w:tr w14:paraId="2A6B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267" w:type="dxa"/>
            <w:noWrap/>
            <w:vAlign w:val="center"/>
          </w:tcPr>
          <w:p w14:paraId="07A4A52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2-5</w:t>
            </w:r>
            <w:r>
              <w:rPr>
                <w:rFonts w:hint="eastAsia" w:ascii="Times New Roman" w:hAnsi="Times New Roman" w:eastAsia="方正仿宋简体"/>
                <w:color w:val="auto"/>
                <w:sz w:val="32"/>
                <w:szCs w:val="32"/>
                <w:highlight w:val="none"/>
              </w:rPr>
              <w:t>吨</w:t>
            </w:r>
          </w:p>
        </w:tc>
        <w:tc>
          <w:tcPr>
            <w:tcW w:w="4255" w:type="dxa"/>
            <w:noWrap/>
            <w:vAlign w:val="center"/>
          </w:tcPr>
          <w:p w14:paraId="2349232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500-1000</w:t>
            </w:r>
            <w:r>
              <w:rPr>
                <w:rFonts w:hint="eastAsia" w:ascii="Times New Roman" w:hAnsi="Times New Roman" w:eastAsia="方正仿宋简体"/>
                <w:color w:val="auto"/>
                <w:sz w:val="32"/>
                <w:szCs w:val="32"/>
                <w:highlight w:val="none"/>
              </w:rPr>
              <w:t>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台</w:t>
            </w:r>
          </w:p>
        </w:tc>
      </w:tr>
      <w:tr w14:paraId="483C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267" w:type="dxa"/>
            <w:noWrap/>
            <w:vAlign w:val="center"/>
          </w:tcPr>
          <w:p w14:paraId="2EE9D81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5-10</w:t>
            </w:r>
            <w:r>
              <w:rPr>
                <w:rFonts w:hint="eastAsia" w:ascii="Times New Roman" w:hAnsi="Times New Roman" w:eastAsia="方正仿宋简体"/>
                <w:color w:val="auto"/>
                <w:sz w:val="32"/>
                <w:szCs w:val="32"/>
                <w:highlight w:val="none"/>
              </w:rPr>
              <w:t>吨</w:t>
            </w:r>
          </w:p>
        </w:tc>
        <w:tc>
          <w:tcPr>
            <w:tcW w:w="4255" w:type="dxa"/>
            <w:noWrap/>
            <w:vAlign w:val="center"/>
          </w:tcPr>
          <w:p w14:paraId="49A656F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1100-2000</w:t>
            </w:r>
            <w:r>
              <w:rPr>
                <w:rFonts w:hint="eastAsia" w:ascii="Times New Roman" w:hAnsi="Times New Roman" w:eastAsia="方正仿宋简体"/>
                <w:color w:val="auto"/>
                <w:sz w:val="32"/>
                <w:szCs w:val="32"/>
                <w:highlight w:val="none"/>
              </w:rPr>
              <w:t>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台</w:t>
            </w:r>
          </w:p>
        </w:tc>
      </w:tr>
      <w:tr w14:paraId="32A6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267" w:type="dxa"/>
            <w:noWrap/>
            <w:vAlign w:val="center"/>
          </w:tcPr>
          <w:p w14:paraId="4F1FBF5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10-15</w:t>
            </w:r>
            <w:r>
              <w:rPr>
                <w:rFonts w:hint="eastAsia" w:ascii="Times New Roman" w:hAnsi="Times New Roman" w:eastAsia="方正仿宋简体"/>
                <w:color w:val="auto"/>
                <w:sz w:val="32"/>
                <w:szCs w:val="32"/>
                <w:highlight w:val="none"/>
              </w:rPr>
              <w:t>吨</w:t>
            </w:r>
          </w:p>
        </w:tc>
        <w:tc>
          <w:tcPr>
            <w:tcW w:w="4255" w:type="dxa"/>
            <w:noWrap/>
            <w:vAlign w:val="center"/>
          </w:tcPr>
          <w:p w14:paraId="63864F6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2100-3000</w:t>
            </w:r>
            <w:r>
              <w:rPr>
                <w:rFonts w:hint="eastAsia" w:ascii="Times New Roman" w:hAnsi="Times New Roman" w:eastAsia="方正仿宋简体"/>
                <w:color w:val="auto"/>
                <w:sz w:val="32"/>
                <w:szCs w:val="32"/>
                <w:highlight w:val="none"/>
              </w:rPr>
              <w:t>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台</w:t>
            </w:r>
          </w:p>
        </w:tc>
      </w:tr>
      <w:tr w14:paraId="19D1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267" w:type="dxa"/>
            <w:noWrap/>
            <w:vAlign w:val="center"/>
          </w:tcPr>
          <w:p w14:paraId="22FEAF7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15</w:t>
            </w:r>
            <w:r>
              <w:rPr>
                <w:rFonts w:hint="eastAsia" w:ascii="Times New Roman" w:hAnsi="Times New Roman" w:eastAsia="方正仿宋简体"/>
                <w:color w:val="auto"/>
                <w:sz w:val="32"/>
                <w:szCs w:val="32"/>
                <w:highlight w:val="none"/>
              </w:rPr>
              <w:t>吨以上</w:t>
            </w:r>
          </w:p>
        </w:tc>
        <w:tc>
          <w:tcPr>
            <w:tcW w:w="4255" w:type="dxa"/>
            <w:noWrap/>
            <w:vAlign w:val="center"/>
          </w:tcPr>
          <w:p w14:paraId="07F2C1F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4000</w:t>
            </w:r>
            <w:r>
              <w:rPr>
                <w:rFonts w:hint="eastAsia" w:ascii="Times New Roman" w:hAnsi="Times New Roman" w:eastAsia="方正仿宋简体"/>
                <w:color w:val="auto"/>
                <w:sz w:val="32"/>
                <w:szCs w:val="32"/>
                <w:highlight w:val="none"/>
              </w:rPr>
              <w:t>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台</w:t>
            </w:r>
          </w:p>
        </w:tc>
      </w:tr>
      <w:tr w14:paraId="1C72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267" w:type="dxa"/>
            <w:noWrap/>
            <w:vAlign w:val="center"/>
          </w:tcPr>
          <w:p w14:paraId="0202E7F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hint="eastAsia" w:ascii="Times New Roman" w:hAnsi="Times New Roman" w:eastAsia="方正仿宋简体"/>
                <w:color w:val="auto"/>
                <w:sz w:val="32"/>
                <w:szCs w:val="32"/>
                <w:highlight w:val="none"/>
              </w:rPr>
              <w:t>行吊</w:t>
            </w:r>
          </w:p>
        </w:tc>
        <w:tc>
          <w:tcPr>
            <w:tcW w:w="4255" w:type="dxa"/>
            <w:noWrap/>
            <w:vAlign w:val="center"/>
          </w:tcPr>
          <w:p w14:paraId="140A955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简体"/>
                <w:color w:val="auto"/>
                <w:sz w:val="32"/>
                <w:szCs w:val="32"/>
                <w:highlight w:val="none"/>
              </w:rPr>
            </w:pPr>
            <w:r>
              <w:rPr>
                <w:rFonts w:ascii="Times New Roman" w:hAnsi="Times New Roman"/>
                <w:color w:val="auto"/>
                <w:sz w:val="32"/>
                <w:szCs w:val="32"/>
                <w:highlight w:val="none"/>
              </w:rPr>
              <w:t>6000</w:t>
            </w:r>
            <w:r>
              <w:rPr>
                <w:rFonts w:hint="eastAsia" w:ascii="Times New Roman" w:hAnsi="Times New Roman" w:eastAsia="方正仿宋简体"/>
                <w:color w:val="auto"/>
                <w:sz w:val="32"/>
                <w:szCs w:val="32"/>
                <w:highlight w:val="none"/>
              </w:rPr>
              <w:t>元</w:t>
            </w:r>
            <w:r>
              <w:rPr>
                <w:rFonts w:ascii="Times New Roman" w:hAnsi="Times New Roman" w:eastAsia="方正仿宋简体"/>
                <w:color w:val="auto"/>
                <w:sz w:val="32"/>
                <w:szCs w:val="32"/>
                <w:highlight w:val="none"/>
              </w:rPr>
              <w:t>/</w:t>
            </w:r>
            <w:r>
              <w:rPr>
                <w:rFonts w:hint="eastAsia" w:ascii="Times New Roman" w:hAnsi="Times New Roman" w:eastAsia="方正仿宋简体"/>
                <w:color w:val="auto"/>
                <w:sz w:val="32"/>
                <w:szCs w:val="32"/>
                <w:highlight w:val="none"/>
              </w:rPr>
              <w:t>台</w:t>
            </w:r>
          </w:p>
        </w:tc>
      </w:tr>
    </w:tbl>
    <w:p w14:paraId="2A0A725F">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6FB20786">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36B745BD">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4A396F9D">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6779C085">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1F3D6A0D">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626B92C8">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120BC386">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239A13BC">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4E445E00">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23469F7D">
      <w:pPr>
        <w:keepNext w:val="0"/>
        <w:keepLines w:val="0"/>
        <w:pageBreakBefore w:val="0"/>
        <w:widowControl w:val="0"/>
        <w:topLinePunct w:val="0"/>
        <w:bidi w:val="0"/>
        <w:spacing w:line="540" w:lineRule="exact"/>
        <w:rPr>
          <w:rFonts w:ascii="Times New Roman" w:hAnsi="Times New Roman" w:eastAsia="黑体"/>
          <w:color w:val="auto"/>
          <w:sz w:val="32"/>
          <w:szCs w:val="30"/>
          <w:highlight w:val="none"/>
        </w:rPr>
      </w:pPr>
    </w:p>
    <w:p w14:paraId="6620D7F5">
      <w:pPr>
        <w:rPr>
          <w:rFonts w:hint="eastAsia" w:ascii="Times New Roman" w:hAnsi="Times New Roman" w:eastAsia="黑体"/>
          <w:color w:val="auto"/>
          <w:sz w:val="32"/>
          <w:szCs w:val="30"/>
          <w:highlight w:val="none"/>
        </w:rPr>
      </w:pPr>
      <w:r>
        <w:rPr>
          <w:rFonts w:hint="eastAsia" w:ascii="Times New Roman" w:hAnsi="Times New Roman" w:eastAsia="黑体"/>
          <w:color w:val="auto"/>
          <w:sz w:val="32"/>
          <w:szCs w:val="30"/>
          <w:highlight w:val="none"/>
        </w:rPr>
        <w:br w:type="page"/>
      </w:r>
    </w:p>
    <w:p w14:paraId="6CCA474F">
      <w:pPr>
        <w:keepNext w:val="0"/>
        <w:keepLines w:val="0"/>
        <w:pageBreakBefore w:val="0"/>
        <w:widowControl w:val="0"/>
        <w:topLinePunct w:val="0"/>
        <w:bidi w:val="0"/>
        <w:spacing w:line="540" w:lineRule="exact"/>
        <w:rPr>
          <w:rFonts w:ascii="Times New Roman" w:hAnsi="Times New Roman"/>
          <w:color w:val="auto"/>
          <w:highlight w:val="none"/>
        </w:rPr>
      </w:pPr>
      <w:r>
        <w:rPr>
          <w:rFonts w:hint="eastAsia" w:ascii="Times New Roman" w:hAnsi="Times New Roman" w:eastAsia="黑体"/>
          <w:color w:val="auto"/>
          <w:sz w:val="32"/>
          <w:szCs w:val="30"/>
          <w:highlight w:val="none"/>
        </w:rPr>
        <w:t>附表六</w:t>
      </w:r>
    </w:p>
    <w:p w14:paraId="098782E6">
      <w:pPr>
        <w:keepNext w:val="0"/>
        <w:keepLines w:val="0"/>
        <w:pageBreakBefore w:val="0"/>
        <w:widowControl w:val="0"/>
        <w:topLinePunct w:val="0"/>
        <w:bidi w:val="0"/>
        <w:spacing w:line="590" w:lineRule="exact"/>
        <w:ind w:firstLine="880" w:firstLineChars="200"/>
        <w:rPr>
          <w:rFonts w:ascii="Times New Roman" w:hAnsi="Times New Roman" w:eastAsia="方正小标宋简体" w:cs="宋体"/>
          <w:bCs/>
          <w:color w:val="auto"/>
          <w:kern w:val="0"/>
          <w:sz w:val="44"/>
          <w:szCs w:val="44"/>
          <w:highlight w:val="none"/>
        </w:rPr>
      </w:pPr>
      <w:r>
        <w:rPr>
          <w:rFonts w:hint="eastAsia" w:ascii="Times New Roman" w:hAnsi="Times New Roman" w:eastAsia="方正小标宋简体" w:cs="宋体"/>
          <w:bCs/>
          <w:color w:val="auto"/>
          <w:kern w:val="0"/>
          <w:sz w:val="44"/>
          <w:szCs w:val="44"/>
          <w:highlight w:val="none"/>
        </w:rPr>
        <w:t>被征收房屋附属物项目补偿单价表</w:t>
      </w:r>
    </w:p>
    <w:p w14:paraId="4F679D46">
      <w:pPr>
        <w:keepNext w:val="0"/>
        <w:keepLines w:val="0"/>
        <w:pageBreakBefore w:val="0"/>
        <w:widowControl w:val="0"/>
        <w:topLinePunct w:val="0"/>
        <w:bidi w:val="0"/>
        <w:spacing w:line="590" w:lineRule="exact"/>
        <w:jc w:val="right"/>
        <w:rPr>
          <w:rFonts w:ascii="Times New Roman" w:hAnsi="Times New Roman"/>
          <w:color w:val="auto"/>
          <w:highlight w:val="none"/>
        </w:rPr>
      </w:pPr>
      <w:r>
        <w:rPr>
          <w:rFonts w:hint="eastAsia" w:ascii="Times New Roman" w:hAnsi="Times New Roman" w:eastAsia="方正仿宋简体"/>
          <w:color w:val="auto"/>
          <w:sz w:val="32"/>
          <w:szCs w:val="32"/>
          <w:highlight w:val="none"/>
        </w:rPr>
        <w:t>单位：元</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11" w:type="dxa"/>
          <w:right w:w="108" w:type="dxa"/>
        </w:tblCellMar>
      </w:tblPr>
      <w:tblGrid>
        <w:gridCol w:w="893"/>
        <w:gridCol w:w="1999"/>
        <w:gridCol w:w="992"/>
        <w:gridCol w:w="1306"/>
        <w:gridCol w:w="3795"/>
      </w:tblGrid>
      <w:tr w14:paraId="1DEB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tblHeader/>
          <w:jc w:val="center"/>
        </w:trPr>
        <w:tc>
          <w:tcPr>
            <w:tcW w:w="893" w:type="dxa"/>
            <w:noWrap/>
            <w:vAlign w:val="center"/>
          </w:tcPr>
          <w:p w14:paraId="77F87CDB">
            <w:pPr>
              <w:keepNext w:val="0"/>
              <w:keepLines w:val="0"/>
              <w:pageBreakBefore w:val="0"/>
              <w:widowControl w:val="0"/>
              <w:topLinePunct w:val="0"/>
              <w:bidi w:val="0"/>
              <w:spacing w:line="260" w:lineRule="exact"/>
              <w:jc w:val="center"/>
              <w:rPr>
                <w:rFonts w:ascii="Times New Roman" w:hAnsi="Times New Roman" w:eastAsia="方正仿宋简体"/>
                <w:b/>
                <w:bCs/>
                <w:color w:val="auto"/>
                <w:sz w:val="24"/>
                <w:highlight w:val="none"/>
              </w:rPr>
            </w:pPr>
            <w:r>
              <w:rPr>
                <w:rFonts w:hint="eastAsia" w:ascii="Times New Roman" w:hAnsi="Times New Roman" w:eastAsia="方正仿宋简体"/>
                <w:b/>
                <w:bCs/>
                <w:color w:val="auto"/>
                <w:sz w:val="24"/>
                <w:highlight w:val="none"/>
              </w:rPr>
              <w:t>项目</w:t>
            </w:r>
          </w:p>
        </w:tc>
        <w:tc>
          <w:tcPr>
            <w:tcW w:w="1999" w:type="dxa"/>
            <w:noWrap/>
            <w:vAlign w:val="center"/>
          </w:tcPr>
          <w:p w14:paraId="707524A4">
            <w:pPr>
              <w:keepNext w:val="0"/>
              <w:keepLines w:val="0"/>
              <w:pageBreakBefore w:val="0"/>
              <w:widowControl w:val="0"/>
              <w:topLinePunct w:val="0"/>
              <w:bidi w:val="0"/>
              <w:spacing w:line="260" w:lineRule="exact"/>
              <w:jc w:val="center"/>
              <w:rPr>
                <w:rFonts w:ascii="Times New Roman" w:hAnsi="Times New Roman" w:eastAsia="方正仿宋简体"/>
                <w:b/>
                <w:bCs/>
                <w:color w:val="auto"/>
                <w:sz w:val="24"/>
                <w:highlight w:val="none"/>
              </w:rPr>
            </w:pPr>
            <w:r>
              <w:rPr>
                <w:rFonts w:hint="eastAsia" w:ascii="Times New Roman" w:hAnsi="Times New Roman" w:eastAsia="方正仿宋简体"/>
                <w:b/>
                <w:bCs/>
                <w:color w:val="auto"/>
                <w:sz w:val="24"/>
                <w:highlight w:val="none"/>
              </w:rPr>
              <w:t>种类</w:t>
            </w:r>
          </w:p>
        </w:tc>
        <w:tc>
          <w:tcPr>
            <w:tcW w:w="992" w:type="dxa"/>
            <w:noWrap/>
            <w:vAlign w:val="center"/>
          </w:tcPr>
          <w:p w14:paraId="11CEE688">
            <w:pPr>
              <w:keepNext w:val="0"/>
              <w:keepLines w:val="0"/>
              <w:pageBreakBefore w:val="0"/>
              <w:widowControl w:val="0"/>
              <w:topLinePunct w:val="0"/>
              <w:bidi w:val="0"/>
              <w:spacing w:line="260" w:lineRule="exact"/>
              <w:ind w:left="-20" w:leftChars="-61" w:right="-115" w:rightChars="-55" w:hanging="108" w:hangingChars="56"/>
              <w:jc w:val="center"/>
              <w:rPr>
                <w:rFonts w:ascii="Times New Roman" w:hAnsi="Times New Roman" w:eastAsia="方正仿宋简体"/>
                <w:b/>
                <w:bCs/>
                <w:color w:val="auto"/>
                <w:spacing w:val="-24"/>
                <w:sz w:val="24"/>
                <w:highlight w:val="none"/>
              </w:rPr>
            </w:pPr>
            <w:r>
              <w:rPr>
                <w:rFonts w:hint="eastAsia" w:ascii="Times New Roman" w:hAnsi="Times New Roman" w:eastAsia="方正仿宋简体"/>
                <w:b/>
                <w:bCs/>
                <w:color w:val="auto"/>
                <w:spacing w:val="-24"/>
                <w:sz w:val="24"/>
                <w:highlight w:val="none"/>
              </w:rPr>
              <w:t>计算单位</w:t>
            </w:r>
          </w:p>
        </w:tc>
        <w:tc>
          <w:tcPr>
            <w:tcW w:w="1306" w:type="dxa"/>
            <w:noWrap/>
            <w:vAlign w:val="center"/>
          </w:tcPr>
          <w:p w14:paraId="7B725CBC">
            <w:pPr>
              <w:keepNext w:val="0"/>
              <w:keepLines w:val="0"/>
              <w:pageBreakBefore w:val="0"/>
              <w:widowControl w:val="0"/>
              <w:topLinePunct w:val="0"/>
              <w:bidi w:val="0"/>
              <w:spacing w:line="260" w:lineRule="exact"/>
              <w:jc w:val="center"/>
              <w:rPr>
                <w:rFonts w:ascii="Times New Roman" w:hAnsi="Times New Roman" w:eastAsia="方正仿宋简体"/>
                <w:b/>
                <w:bCs/>
                <w:color w:val="auto"/>
                <w:sz w:val="24"/>
                <w:highlight w:val="none"/>
              </w:rPr>
            </w:pPr>
            <w:r>
              <w:rPr>
                <w:rFonts w:hint="eastAsia" w:ascii="Times New Roman" w:hAnsi="Times New Roman" w:eastAsia="方正仿宋简体"/>
                <w:b/>
                <w:bCs/>
                <w:color w:val="auto"/>
                <w:sz w:val="24"/>
                <w:highlight w:val="none"/>
              </w:rPr>
              <w:t>单价</w:t>
            </w:r>
          </w:p>
        </w:tc>
        <w:tc>
          <w:tcPr>
            <w:tcW w:w="3795" w:type="dxa"/>
            <w:noWrap/>
            <w:vAlign w:val="center"/>
          </w:tcPr>
          <w:p w14:paraId="3BF72E3A">
            <w:pPr>
              <w:keepNext w:val="0"/>
              <w:keepLines w:val="0"/>
              <w:pageBreakBefore w:val="0"/>
              <w:widowControl w:val="0"/>
              <w:topLinePunct w:val="0"/>
              <w:bidi w:val="0"/>
              <w:spacing w:line="260" w:lineRule="exact"/>
              <w:jc w:val="center"/>
              <w:rPr>
                <w:rFonts w:ascii="Times New Roman" w:hAnsi="Times New Roman" w:eastAsia="方正仿宋简体"/>
                <w:b/>
                <w:bCs/>
                <w:color w:val="auto"/>
                <w:sz w:val="24"/>
                <w:highlight w:val="none"/>
              </w:rPr>
            </w:pPr>
            <w:r>
              <w:rPr>
                <w:rFonts w:hint="eastAsia" w:ascii="Times New Roman" w:hAnsi="Times New Roman" w:eastAsia="方正仿宋简体"/>
                <w:b/>
                <w:bCs/>
                <w:color w:val="auto"/>
                <w:sz w:val="24"/>
                <w:highlight w:val="none"/>
              </w:rPr>
              <w:t>说明</w:t>
            </w:r>
          </w:p>
        </w:tc>
      </w:tr>
      <w:tr w14:paraId="3536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restart"/>
            <w:noWrap/>
            <w:vAlign w:val="center"/>
          </w:tcPr>
          <w:p w14:paraId="3805F5C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水井</w:t>
            </w:r>
          </w:p>
        </w:tc>
        <w:tc>
          <w:tcPr>
            <w:tcW w:w="1999" w:type="dxa"/>
            <w:noWrap/>
            <w:vAlign w:val="center"/>
          </w:tcPr>
          <w:p w14:paraId="347CA96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手泵井</w:t>
            </w:r>
          </w:p>
        </w:tc>
        <w:tc>
          <w:tcPr>
            <w:tcW w:w="992" w:type="dxa"/>
            <w:noWrap/>
            <w:vAlign w:val="center"/>
          </w:tcPr>
          <w:p w14:paraId="2CD95A8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口</w:t>
            </w:r>
          </w:p>
        </w:tc>
        <w:tc>
          <w:tcPr>
            <w:tcW w:w="1306" w:type="dxa"/>
            <w:noWrap/>
            <w:vAlign w:val="center"/>
          </w:tcPr>
          <w:p w14:paraId="4D3CA323">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600</w:t>
            </w:r>
          </w:p>
        </w:tc>
        <w:tc>
          <w:tcPr>
            <w:tcW w:w="3795" w:type="dxa"/>
            <w:noWrap/>
            <w:vAlign w:val="center"/>
          </w:tcPr>
          <w:p w14:paraId="049B62B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r>
      <w:tr w14:paraId="6399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404B0C9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1A43589A">
            <w:pPr>
              <w:keepNext w:val="0"/>
              <w:keepLines w:val="0"/>
              <w:pageBreakBefore w:val="0"/>
              <w:widowControl w:val="0"/>
              <w:topLinePunct w:val="0"/>
              <w:bidi w:val="0"/>
              <w:spacing w:line="260" w:lineRule="exact"/>
              <w:ind w:left="1" w:leftChars="-21" w:hanging="45" w:hangingChars="19"/>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一般水井（条石）</w:t>
            </w:r>
          </w:p>
        </w:tc>
        <w:tc>
          <w:tcPr>
            <w:tcW w:w="992" w:type="dxa"/>
            <w:noWrap/>
            <w:vAlign w:val="center"/>
          </w:tcPr>
          <w:p w14:paraId="6B2FB6F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立方米</w:t>
            </w:r>
          </w:p>
        </w:tc>
        <w:tc>
          <w:tcPr>
            <w:tcW w:w="1306" w:type="dxa"/>
            <w:noWrap/>
            <w:vAlign w:val="center"/>
          </w:tcPr>
          <w:p w14:paraId="717302B7">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00</w:t>
            </w:r>
          </w:p>
        </w:tc>
        <w:tc>
          <w:tcPr>
            <w:tcW w:w="3795" w:type="dxa"/>
            <w:noWrap/>
            <w:vAlign w:val="center"/>
          </w:tcPr>
          <w:p w14:paraId="427732D2">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r>
      <w:tr w14:paraId="01E2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228886E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4C2CFD77">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一般水井（水泥）</w:t>
            </w:r>
          </w:p>
        </w:tc>
        <w:tc>
          <w:tcPr>
            <w:tcW w:w="992" w:type="dxa"/>
            <w:noWrap/>
            <w:vAlign w:val="center"/>
          </w:tcPr>
          <w:p w14:paraId="5FAF7AB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立方米</w:t>
            </w:r>
          </w:p>
        </w:tc>
        <w:tc>
          <w:tcPr>
            <w:tcW w:w="1306" w:type="dxa"/>
            <w:noWrap/>
            <w:vAlign w:val="center"/>
          </w:tcPr>
          <w:p w14:paraId="24725BC4">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200</w:t>
            </w:r>
          </w:p>
        </w:tc>
        <w:tc>
          <w:tcPr>
            <w:tcW w:w="3795" w:type="dxa"/>
            <w:noWrap/>
            <w:vAlign w:val="center"/>
          </w:tcPr>
          <w:p w14:paraId="34F2888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r>
      <w:tr w14:paraId="5C9A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5587A7D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C434525">
            <w:pPr>
              <w:keepNext w:val="0"/>
              <w:keepLines w:val="0"/>
              <w:pageBreakBefore w:val="0"/>
              <w:widowControl w:val="0"/>
              <w:tabs>
                <w:tab w:val="left" w:pos="1340"/>
              </w:tabs>
              <w:topLinePunct w:val="0"/>
              <w:bidi w:val="0"/>
              <w:spacing w:line="260" w:lineRule="exact"/>
              <w:ind w:right="-151" w:rightChars="-72"/>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机井</w:t>
            </w:r>
          </w:p>
        </w:tc>
        <w:tc>
          <w:tcPr>
            <w:tcW w:w="992" w:type="dxa"/>
            <w:noWrap/>
            <w:vAlign w:val="center"/>
          </w:tcPr>
          <w:p w14:paraId="22411AB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口</w:t>
            </w:r>
          </w:p>
        </w:tc>
        <w:tc>
          <w:tcPr>
            <w:tcW w:w="1306" w:type="dxa"/>
            <w:noWrap/>
            <w:vAlign w:val="center"/>
          </w:tcPr>
          <w:p w14:paraId="41826510">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2500</w:t>
            </w:r>
          </w:p>
        </w:tc>
        <w:tc>
          <w:tcPr>
            <w:tcW w:w="3795" w:type="dxa"/>
            <w:noWrap/>
            <w:vAlign w:val="center"/>
          </w:tcPr>
          <w:p w14:paraId="45C9FF7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r>
      <w:tr w14:paraId="71C3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48F012D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0E1B903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深机井</w:t>
            </w:r>
          </w:p>
        </w:tc>
        <w:tc>
          <w:tcPr>
            <w:tcW w:w="992" w:type="dxa"/>
            <w:noWrap/>
            <w:vAlign w:val="center"/>
          </w:tcPr>
          <w:p w14:paraId="0FC2AAD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口</w:t>
            </w:r>
          </w:p>
        </w:tc>
        <w:tc>
          <w:tcPr>
            <w:tcW w:w="1306" w:type="dxa"/>
            <w:noWrap/>
            <w:vAlign w:val="center"/>
          </w:tcPr>
          <w:p w14:paraId="6ABF99B6">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4000</w:t>
            </w:r>
          </w:p>
        </w:tc>
        <w:tc>
          <w:tcPr>
            <w:tcW w:w="3795" w:type="dxa"/>
            <w:noWrap/>
            <w:vAlign w:val="center"/>
          </w:tcPr>
          <w:p w14:paraId="04AA1D7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r>
      <w:tr w14:paraId="74C7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restart"/>
            <w:noWrap/>
            <w:vAlign w:val="center"/>
          </w:tcPr>
          <w:p w14:paraId="39B3421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住宅或厂房围墙大门</w:t>
            </w:r>
          </w:p>
        </w:tc>
        <w:tc>
          <w:tcPr>
            <w:tcW w:w="1999" w:type="dxa"/>
            <w:noWrap/>
            <w:vAlign w:val="center"/>
          </w:tcPr>
          <w:p w14:paraId="0175227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电动门</w:t>
            </w:r>
          </w:p>
        </w:tc>
        <w:tc>
          <w:tcPr>
            <w:tcW w:w="992" w:type="dxa"/>
            <w:noWrap/>
            <w:vAlign w:val="center"/>
          </w:tcPr>
          <w:p w14:paraId="20FF73C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0143B170">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600</w:t>
            </w:r>
          </w:p>
        </w:tc>
        <w:tc>
          <w:tcPr>
            <w:tcW w:w="3795" w:type="dxa"/>
            <w:vMerge w:val="restart"/>
            <w:noWrap/>
            <w:vAlign w:val="center"/>
          </w:tcPr>
          <w:p w14:paraId="46CE120C">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室外围墙全封闭，其中电机每台补偿</w:t>
            </w:r>
            <w:r>
              <w:rPr>
                <w:rFonts w:ascii="Times New Roman" w:hAnsi="Times New Roman" w:eastAsia="方正仿宋简体"/>
                <w:color w:val="auto"/>
                <w:sz w:val="24"/>
                <w:highlight w:val="none"/>
              </w:rPr>
              <w:t>1200</w:t>
            </w:r>
            <w:r>
              <w:rPr>
                <w:rFonts w:hint="eastAsia" w:ascii="Times New Roman" w:hAnsi="Times New Roman" w:eastAsia="方正仿宋简体"/>
                <w:color w:val="auto"/>
                <w:sz w:val="24"/>
                <w:highlight w:val="none"/>
              </w:rPr>
              <w:t>元</w:t>
            </w:r>
          </w:p>
        </w:tc>
      </w:tr>
      <w:tr w14:paraId="32A2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38CE4C1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C953D6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不锈钢门</w:t>
            </w:r>
          </w:p>
        </w:tc>
        <w:tc>
          <w:tcPr>
            <w:tcW w:w="992" w:type="dxa"/>
            <w:noWrap/>
            <w:vAlign w:val="center"/>
          </w:tcPr>
          <w:p w14:paraId="75C73BF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0107E620">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600</w:t>
            </w:r>
          </w:p>
        </w:tc>
        <w:tc>
          <w:tcPr>
            <w:tcW w:w="3795" w:type="dxa"/>
            <w:vMerge w:val="continue"/>
            <w:noWrap/>
            <w:vAlign w:val="center"/>
          </w:tcPr>
          <w:p w14:paraId="0E29DD0D">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p>
        </w:tc>
      </w:tr>
      <w:tr w14:paraId="4D58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7F48EA3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4A36DCE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镀锌板门</w:t>
            </w:r>
          </w:p>
        </w:tc>
        <w:tc>
          <w:tcPr>
            <w:tcW w:w="992" w:type="dxa"/>
            <w:noWrap/>
            <w:vAlign w:val="center"/>
          </w:tcPr>
          <w:p w14:paraId="53B3191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6DF581B7">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260</w:t>
            </w:r>
          </w:p>
        </w:tc>
        <w:tc>
          <w:tcPr>
            <w:tcW w:w="3795" w:type="dxa"/>
            <w:vMerge w:val="continue"/>
            <w:noWrap/>
            <w:vAlign w:val="center"/>
          </w:tcPr>
          <w:p w14:paraId="1DA7F70B">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p>
        </w:tc>
      </w:tr>
      <w:tr w14:paraId="65DD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1258" w:hRule="exact"/>
          <w:jc w:val="center"/>
        </w:trPr>
        <w:tc>
          <w:tcPr>
            <w:tcW w:w="893" w:type="dxa"/>
            <w:noWrap/>
            <w:vAlign w:val="center"/>
          </w:tcPr>
          <w:p w14:paraId="1B7B69D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围墙</w:t>
            </w:r>
          </w:p>
        </w:tc>
        <w:tc>
          <w:tcPr>
            <w:tcW w:w="1999" w:type="dxa"/>
            <w:noWrap/>
            <w:vAlign w:val="center"/>
          </w:tcPr>
          <w:p w14:paraId="050805D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各种材质</w:t>
            </w:r>
          </w:p>
        </w:tc>
        <w:tc>
          <w:tcPr>
            <w:tcW w:w="992" w:type="dxa"/>
            <w:noWrap/>
            <w:vAlign w:val="center"/>
          </w:tcPr>
          <w:p w14:paraId="4118A61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377AE282">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w:t>
            </w:r>
          </w:p>
        </w:tc>
        <w:tc>
          <w:tcPr>
            <w:tcW w:w="3795" w:type="dxa"/>
            <w:noWrap/>
            <w:vAlign w:val="center"/>
          </w:tcPr>
          <w:p w14:paraId="3DEF893F">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高度</w:t>
            </w:r>
            <w:r>
              <w:rPr>
                <w:rFonts w:ascii="Times New Roman" w:hAnsi="Times New Roman" w:eastAsia="方正仿宋简体"/>
                <w:color w:val="auto"/>
                <w:sz w:val="24"/>
                <w:highlight w:val="none"/>
              </w:rPr>
              <w:t>2</w:t>
            </w:r>
            <w:r>
              <w:rPr>
                <w:rFonts w:hint="eastAsia" w:ascii="Times New Roman" w:hAnsi="Times New Roman" w:eastAsia="方正仿宋简体"/>
                <w:color w:val="auto"/>
                <w:sz w:val="24"/>
                <w:highlight w:val="none"/>
              </w:rPr>
              <w:t>米</w:t>
            </w:r>
            <w:r>
              <w:rPr>
                <w:rFonts w:hint="eastAsia" w:ascii="Times New Roman" w:hAnsi="Times New Roman" w:eastAsia="方正仿宋简体"/>
                <w:color w:val="auto"/>
                <w:sz w:val="24"/>
                <w:highlight w:val="none"/>
                <w:lang w:val="en-US" w:eastAsia="zh-CN"/>
              </w:rPr>
              <w:t>的</w:t>
            </w:r>
            <w:r>
              <w:rPr>
                <w:rFonts w:hint="eastAsia" w:ascii="Times New Roman" w:hAnsi="Times New Roman" w:eastAsia="方正仿宋简体"/>
                <w:color w:val="auto"/>
                <w:sz w:val="24"/>
                <w:highlight w:val="none"/>
              </w:rPr>
              <w:t>，单面贴砖每米增加</w:t>
            </w:r>
            <w:r>
              <w:rPr>
                <w:rFonts w:ascii="Times New Roman" w:hAnsi="Times New Roman" w:eastAsia="方正仿宋简体"/>
                <w:color w:val="auto"/>
                <w:sz w:val="24"/>
                <w:highlight w:val="none"/>
              </w:rPr>
              <w:t>100</w:t>
            </w:r>
            <w:r>
              <w:rPr>
                <w:rFonts w:hint="eastAsia" w:ascii="Times New Roman" w:hAnsi="Times New Roman" w:eastAsia="方正仿宋简体"/>
                <w:color w:val="auto"/>
                <w:sz w:val="24"/>
                <w:highlight w:val="none"/>
              </w:rPr>
              <w:t>元</w:t>
            </w:r>
            <w:r>
              <w:rPr>
                <w:rFonts w:hint="eastAsia" w:ascii="Times New Roman" w:hAnsi="Times New Roman" w:eastAsia="方正仿宋简体"/>
                <w:color w:val="auto"/>
                <w:sz w:val="24"/>
                <w:highlight w:val="none"/>
                <w:lang w:eastAsia="zh-CN"/>
              </w:rPr>
              <w:t>，</w:t>
            </w:r>
            <w:r>
              <w:rPr>
                <w:rFonts w:hint="eastAsia" w:ascii="Times New Roman" w:hAnsi="Times New Roman" w:eastAsia="方正仿宋简体"/>
                <w:color w:val="auto"/>
                <w:sz w:val="24"/>
                <w:highlight w:val="none"/>
              </w:rPr>
              <w:t>双面贴砖每米增加</w:t>
            </w:r>
            <w:r>
              <w:rPr>
                <w:rFonts w:ascii="Times New Roman" w:hAnsi="Times New Roman" w:eastAsia="方正仿宋简体"/>
                <w:color w:val="auto"/>
                <w:sz w:val="24"/>
                <w:highlight w:val="none"/>
              </w:rPr>
              <w:t>200</w:t>
            </w:r>
            <w:r>
              <w:rPr>
                <w:rFonts w:hint="eastAsia" w:ascii="Times New Roman" w:hAnsi="Times New Roman" w:eastAsia="方正仿宋简体"/>
                <w:color w:val="auto"/>
                <w:sz w:val="24"/>
                <w:highlight w:val="none"/>
              </w:rPr>
              <w:t>元</w:t>
            </w:r>
            <w:r>
              <w:rPr>
                <w:rFonts w:hint="eastAsia" w:ascii="Times New Roman" w:hAnsi="Times New Roman" w:eastAsia="方正仿宋简体"/>
                <w:color w:val="auto"/>
                <w:sz w:val="24"/>
                <w:highlight w:val="none"/>
                <w:lang w:eastAsia="zh-CN"/>
              </w:rPr>
              <w:t>；</w:t>
            </w:r>
            <w:r>
              <w:rPr>
                <w:rFonts w:hint="eastAsia" w:ascii="Times New Roman" w:hAnsi="Times New Roman" w:eastAsia="方正仿宋简体"/>
                <w:color w:val="auto"/>
                <w:sz w:val="24"/>
                <w:highlight w:val="none"/>
              </w:rPr>
              <w:t>高度</w:t>
            </w:r>
            <w:r>
              <w:rPr>
                <w:rFonts w:ascii="Times New Roman" w:hAnsi="Times New Roman" w:eastAsia="方正仿宋简体"/>
                <w:color w:val="auto"/>
                <w:sz w:val="24"/>
                <w:highlight w:val="none"/>
              </w:rPr>
              <w:t>2</w:t>
            </w:r>
            <w:r>
              <w:rPr>
                <w:rFonts w:hint="eastAsia" w:ascii="Times New Roman" w:hAnsi="Times New Roman" w:eastAsia="方正仿宋简体"/>
                <w:color w:val="auto"/>
                <w:sz w:val="24"/>
                <w:highlight w:val="none"/>
              </w:rPr>
              <w:t>米以上或</w:t>
            </w:r>
            <w:r>
              <w:rPr>
                <w:rFonts w:ascii="Times New Roman" w:hAnsi="Times New Roman" w:eastAsia="方正仿宋简体"/>
                <w:color w:val="auto"/>
                <w:sz w:val="24"/>
                <w:highlight w:val="none"/>
              </w:rPr>
              <w:t>2</w:t>
            </w:r>
            <w:r>
              <w:rPr>
                <w:rFonts w:hint="eastAsia" w:ascii="Times New Roman" w:hAnsi="Times New Roman" w:eastAsia="方正仿宋简体"/>
                <w:color w:val="auto"/>
                <w:sz w:val="24"/>
                <w:highlight w:val="none"/>
              </w:rPr>
              <w:t>米以下的，按比例折算</w:t>
            </w:r>
          </w:p>
        </w:tc>
      </w:tr>
      <w:tr w14:paraId="4198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99" w:hRule="exact"/>
          <w:jc w:val="center"/>
        </w:trPr>
        <w:tc>
          <w:tcPr>
            <w:tcW w:w="893" w:type="dxa"/>
            <w:vMerge w:val="restart"/>
            <w:noWrap/>
            <w:vAlign w:val="center"/>
          </w:tcPr>
          <w:p w14:paraId="4A51E2A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女</w:t>
            </w:r>
          </w:p>
          <w:p w14:paraId="2B580752">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儿</w:t>
            </w:r>
          </w:p>
          <w:p w14:paraId="4A849FD1">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墙</w:t>
            </w:r>
          </w:p>
        </w:tc>
        <w:tc>
          <w:tcPr>
            <w:tcW w:w="1999" w:type="dxa"/>
            <w:noWrap/>
            <w:vAlign w:val="center"/>
          </w:tcPr>
          <w:p w14:paraId="199E53B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普通类型</w:t>
            </w:r>
          </w:p>
        </w:tc>
        <w:tc>
          <w:tcPr>
            <w:tcW w:w="992" w:type="dxa"/>
            <w:noWrap/>
            <w:vAlign w:val="center"/>
          </w:tcPr>
          <w:p w14:paraId="637E79B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2F18F163">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200</w:t>
            </w:r>
          </w:p>
        </w:tc>
        <w:tc>
          <w:tcPr>
            <w:tcW w:w="3795" w:type="dxa"/>
            <w:noWrap/>
            <w:vAlign w:val="center"/>
          </w:tcPr>
          <w:p w14:paraId="6C78BC62">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实心砖墙或镂空水泥浇筑栏杆</w:t>
            </w:r>
          </w:p>
        </w:tc>
      </w:tr>
      <w:tr w14:paraId="38FD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729" w:hRule="exact"/>
          <w:jc w:val="center"/>
        </w:trPr>
        <w:tc>
          <w:tcPr>
            <w:tcW w:w="893" w:type="dxa"/>
            <w:vMerge w:val="continue"/>
            <w:noWrap/>
            <w:vAlign w:val="center"/>
          </w:tcPr>
          <w:p w14:paraId="32A2FAE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5416038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斜面贴琉璃瓦</w:t>
            </w:r>
          </w:p>
        </w:tc>
        <w:tc>
          <w:tcPr>
            <w:tcW w:w="992" w:type="dxa"/>
            <w:noWrap/>
            <w:vAlign w:val="center"/>
          </w:tcPr>
          <w:p w14:paraId="4C4D2FC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01C67658">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540</w:t>
            </w:r>
          </w:p>
        </w:tc>
        <w:tc>
          <w:tcPr>
            <w:tcW w:w="3795" w:type="dxa"/>
            <w:noWrap/>
            <w:vAlign w:val="center"/>
          </w:tcPr>
          <w:p w14:paraId="4536B105">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钢筋混凝土浇筑斜面，贴琉璃瓦、瓷砖，以斜面计算</w:t>
            </w:r>
          </w:p>
        </w:tc>
      </w:tr>
      <w:tr w14:paraId="59D2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83" w:hRule="exact"/>
          <w:jc w:val="center"/>
        </w:trPr>
        <w:tc>
          <w:tcPr>
            <w:tcW w:w="893" w:type="dxa"/>
            <w:noWrap/>
            <w:vAlign w:val="center"/>
          </w:tcPr>
          <w:p w14:paraId="4FB3FAC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地基</w:t>
            </w:r>
          </w:p>
        </w:tc>
        <w:tc>
          <w:tcPr>
            <w:tcW w:w="1999" w:type="dxa"/>
            <w:noWrap/>
            <w:vAlign w:val="center"/>
          </w:tcPr>
          <w:p w14:paraId="6BCA14F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各类材质</w:t>
            </w:r>
          </w:p>
        </w:tc>
        <w:tc>
          <w:tcPr>
            <w:tcW w:w="992" w:type="dxa"/>
            <w:noWrap/>
            <w:vAlign w:val="center"/>
          </w:tcPr>
          <w:p w14:paraId="657F03F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立方米</w:t>
            </w:r>
          </w:p>
        </w:tc>
        <w:tc>
          <w:tcPr>
            <w:tcW w:w="1306" w:type="dxa"/>
            <w:noWrap/>
            <w:vAlign w:val="center"/>
          </w:tcPr>
          <w:p w14:paraId="318E6872">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w:t>
            </w:r>
          </w:p>
        </w:tc>
        <w:tc>
          <w:tcPr>
            <w:tcW w:w="3795" w:type="dxa"/>
            <w:noWrap/>
            <w:vAlign w:val="center"/>
          </w:tcPr>
          <w:p w14:paraId="2ADE9BB5">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p>
        </w:tc>
      </w:tr>
      <w:tr w14:paraId="2CE9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99" w:hRule="exact"/>
          <w:jc w:val="center"/>
        </w:trPr>
        <w:tc>
          <w:tcPr>
            <w:tcW w:w="893" w:type="dxa"/>
            <w:vMerge w:val="restart"/>
            <w:noWrap/>
            <w:vAlign w:val="center"/>
          </w:tcPr>
          <w:p w14:paraId="327512C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挡</w:t>
            </w:r>
          </w:p>
          <w:p w14:paraId="56860F1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土</w:t>
            </w:r>
          </w:p>
          <w:p w14:paraId="3589B9C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墙</w:t>
            </w:r>
          </w:p>
        </w:tc>
        <w:tc>
          <w:tcPr>
            <w:tcW w:w="1999" w:type="dxa"/>
            <w:noWrap/>
            <w:vAlign w:val="center"/>
          </w:tcPr>
          <w:p w14:paraId="79DA0B0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乱毛石</w:t>
            </w:r>
          </w:p>
        </w:tc>
        <w:tc>
          <w:tcPr>
            <w:tcW w:w="992" w:type="dxa"/>
            <w:noWrap/>
            <w:vAlign w:val="center"/>
          </w:tcPr>
          <w:p w14:paraId="009C7BD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67972B3A">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200</w:t>
            </w:r>
          </w:p>
        </w:tc>
        <w:tc>
          <w:tcPr>
            <w:tcW w:w="3795" w:type="dxa"/>
            <w:vMerge w:val="restart"/>
            <w:noWrap/>
            <w:vAlign w:val="center"/>
          </w:tcPr>
          <w:p w14:paraId="55E9C553">
            <w:pPr>
              <w:keepNext w:val="0"/>
              <w:keepLines w:val="0"/>
              <w:pageBreakBefore w:val="0"/>
              <w:widowControl w:val="0"/>
              <w:topLinePunct w:val="0"/>
              <w:bidi w:val="0"/>
              <w:spacing w:line="260" w:lineRule="exact"/>
              <w:jc w:val="lef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高度</w:t>
            </w:r>
            <w:r>
              <w:rPr>
                <w:rFonts w:ascii="Times New Roman" w:hAnsi="Times New Roman" w:eastAsia="方正仿宋简体"/>
                <w:color w:val="auto"/>
                <w:sz w:val="24"/>
                <w:highlight w:val="none"/>
              </w:rPr>
              <w:t>≥1.5</w:t>
            </w:r>
            <w:r>
              <w:rPr>
                <w:rFonts w:hint="eastAsia" w:ascii="Times New Roman" w:hAnsi="Times New Roman" w:eastAsia="方正仿宋简体"/>
                <w:color w:val="auto"/>
                <w:sz w:val="24"/>
                <w:highlight w:val="none"/>
              </w:rPr>
              <w:t>米，</w:t>
            </w:r>
            <w:r>
              <w:rPr>
                <w:rFonts w:ascii="Times New Roman" w:hAnsi="Times New Roman" w:eastAsia="方正仿宋简体"/>
                <w:color w:val="auto"/>
                <w:sz w:val="24"/>
                <w:highlight w:val="none"/>
              </w:rPr>
              <w:t>1.5</w:t>
            </w:r>
            <w:r>
              <w:rPr>
                <w:rFonts w:hint="eastAsia" w:ascii="Times New Roman" w:hAnsi="Times New Roman" w:eastAsia="方正仿宋简体"/>
                <w:color w:val="auto"/>
                <w:sz w:val="24"/>
                <w:highlight w:val="none"/>
              </w:rPr>
              <w:t>米以下按比例折算</w:t>
            </w:r>
          </w:p>
        </w:tc>
      </w:tr>
      <w:tr w14:paraId="1759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54" w:hRule="exact"/>
          <w:jc w:val="center"/>
        </w:trPr>
        <w:tc>
          <w:tcPr>
            <w:tcW w:w="893" w:type="dxa"/>
            <w:vMerge w:val="continue"/>
            <w:noWrap/>
            <w:vAlign w:val="center"/>
          </w:tcPr>
          <w:p w14:paraId="4109EE0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470BA54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条石</w:t>
            </w:r>
          </w:p>
        </w:tc>
        <w:tc>
          <w:tcPr>
            <w:tcW w:w="992" w:type="dxa"/>
            <w:noWrap/>
            <w:vAlign w:val="center"/>
          </w:tcPr>
          <w:p w14:paraId="7DCE125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612C1282">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w:t>
            </w:r>
          </w:p>
        </w:tc>
        <w:tc>
          <w:tcPr>
            <w:tcW w:w="3795" w:type="dxa"/>
            <w:vMerge w:val="continue"/>
            <w:noWrap/>
            <w:vAlign w:val="center"/>
          </w:tcPr>
          <w:p w14:paraId="430BA49B">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68AD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45" w:hRule="exact"/>
          <w:jc w:val="center"/>
        </w:trPr>
        <w:tc>
          <w:tcPr>
            <w:tcW w:w="893" w:type="dxa"/>
            <w:vMerge w:val="restart"/>
            <w:noWrap/>
            <w:vAlign w:val="center"/>
          </w:tcPr>
          <w:p w14:paraId="1678FEF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埕院</w:t>
            </w:r>
          </w:p>
        </w:tc>
        <w:tc>
          <w:tcPr>
            <w:tcW w:w="1999" w:type="dxa"/>
            <w:noWrap/>
            <w:vAlign w:val="center"/>
          </w:tcPr>
          <w:p w14:paraId="0DD73FB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石板（大铺）</w:t>
            </w:r>
          </w:p>
        </w:tc>
        <w:tc>
          <w:tcPr>
            <w:tcW w:w="992" w:type="dxa"/>
            <w:noWrap/>
            <w:vAlign w:val="center"/>
          </w:tcPr>
          <w:p w14:paraId="0E9C8E32">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10F6ED3F">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w:t>
            </w:r>
          </w:p>
        </w:tc>
        <w:tc>
          <w:tcPr>
            <w:tcW w:w="3795" w:type="dxa"/>
            <w:noWrap/>
            <w:vAlign w:val="center"/>
          </w:tcPr>
          <w:p w14:paraId="724FBDAA">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20ED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09" w:hRule="exact"/>
          <w:jc w:val="center"/>
        </w:trPr>
        <w:tc>
          <w:tcPr>
            <w:tcW w:w="893" w:type="dxa"/>
            <w:vMerge w:val="continue"/>
            <w:noWrap/>
            <w:vAlign w:val="center"/>
          </w:tcPr>
          <w:p w14:paraId="77D9279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60BC65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石板（中铺）</w:t>
            </w:r>
          </w:p>
        </w:tc>
        <w:tc>
          <w:tcPr>
            <w:tcW w:w="992" w:type="dxa"/>
            <w:noWrap/>
            <w:vAlign w:val="center"/>
          </w:tcPr>
          <w:p w14:paraId="4DF2B72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322AE16C">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w:t>
            </w:r>
          </w:p>
        </w:tc>
        <w:tc>
          <w:tcPr>
            <w:tcW w:w="3795" w:type="dxa"/>
            <w:noWrap/>
            <w:vAlign w:val="center"/>
          </w:tcPr>
          <w:p w14:paraId="19E7910F">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22C6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79" w:hRule="exact"/>
          <w:jc w:val="center"/>
        </w:trPr>
        <w:tc>
          <w:tcPr>
            <w:tcW w:w="893" w:type="dxa"/>
            <w:vMerge w:val="continue"/>
            <w:noWrap/>
            <w:vAlign w:val="center"/>
          </w:tcPr>
          <w:p w14:paraId="476E827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664835E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石板（小铺）</w:t>
            </w:r>
          </w:p>
        </w:tc>
        <w:tc>
          <w:tcPr>
            <w:tcW w:w="992" w:type="dxa"/>
            <w:noWrap/>
            <w:vAlign w:val="center"/>
          </w:tcPr>
          <w:p w14:paraId="21B9D64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1F15B0D4">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150</w:t>
            </w:r>
          </w:p>
        </w:tc>
        <w:tc>
          <w:tcPr>
            <w:tcW w:w="3795" w:type="dxa"/>
            <w:noWrap/>
            <w:vAlign w:val="center"/>
          </w:tcPr>
          <w:p w14:paraId="0AF87F14">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45A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09" w:hRule="exact"/>
          <w:jc w:val="center"/>
        </w:trPr>
        <w:tc>
          <w:tcPr>
            <w:tcW w:w="893" w:type="dxa"/>
            <w:vMerge w:val="continue"/>
            <w:noWrap/>
            <w:vAlign w:val="center"/>
          </w:tcPr>
          <w:p w14:paraId="0936C5C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16052C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砖</w:t>
            </w:r>
          </w:p>
        </w:tc>
        <w:tc>
          <w:tcPr>
            <w:tcW w:w="992" w:type="dxa"/>
            <w:noWrap/>
            <w:vAlign w:val="center"/>
          </w:tcPr>
          <w:p w14:paraId="3C764C5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1663C534">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80-100</w:t>
            </w:r>
          </w:p>
        </w:tc>
        <w:tc>
          <w:tcPr>
            <w:tcW w:w="3795" w:type="dxa"/>
            <w:noWrap/>
            <w:vAlign w:val="center"/>
          </w:tcPr>
          <w:p w14:paraId="686D9A01">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53F6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43" w:hRule="exact"/>
          <w:jc w:val="center"/>
        </w:trPr>
        <w:tc>
          <w:tcPr>
            <w:tcW w:w="893" w:type="dxa"/>
            <w:vMerge w:val="continue"/>
            <w:noWrap/>
            <w:vAlign w:val="center"/>
          </w:tcPr>
          <w:p w14:paraId="3E1190D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652C18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水泥</w:t>
            </w:r>
          </w:p>
        </w:tc>
        <w:tc>
          <w:tcPr>
            <w:tcW w:w="992" w:type="dxa"/>
            <w:noWrap/>
            <w:vAlign w:val="center"/>
          </w:tcPr>
          <w:p w14:paraId="3AF03A5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7D1B32BF">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100-150</w:t>
            </w:r>
          </w:p>
        </w:tc>
        <w:tc>
          <w:tcPr>
            <w:tcW w:w="3795" w:type="dxa"/>
            <w:noWrap/>
            <w:vAlign w:val="center"/>
          </w:tcPr>
          <w:p w14:paraId="1987B2DF">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671B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restart"/>
            <w:noWrap/>
            <w:vAlign w:val="center"/>
          </w:tcPr>
          <w:p w14:paraId="0CAB421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炉灶</w:t>
            </w:r>
          </w:p>
        </w:tc>
        <w:tc>
          <w:tcPr>
            <w:tcW w:w="1999" w:type="dxa"/>
            <w:noWrap/>
            <w:vAlign w:val="center"/>
          </w:tcPr>
          <w:p w14:paraId="7031620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土</w:t>
            </w:r>
          </w:p>
        </w:tc>
        <w:tc>
          <w:tcPr>
            <w:tcW w:w="992" w:type="dxa"/>
            <w:noWrap/>
            <w:vAlign w:val="center"/>
          </w:tcPr>
          <w:p w14:paraId="62EC221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0D7E8A2E">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200</w:t>
            </w:r>
          </w:p>
        </w:tc>
        <w:tc>
          <w:tcPr>
            <w:tcW w:w="3795" w:type="dxa"/>
            <w:noWrap/>
            <w:vAlign w:val="center"/>
          </w:tcPr>
          <w:p w14:paraId="786E25B3">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按炉口计补偿</w:t>
            </w:r>
          </w:p>
        </w:tc>
      </w:tr>
      <w:tr w14:paraId="624A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1528B69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E422C5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砖</w:t>
            </w:r>
          </w:p>
        </w:tc>
        <w:tc>
          <w:tcPr>
            <w:tcW w:w="992" w:type="dxa"/>
            <w:noWrap/>
            <w:vAlign w:val="center"/>
          </w:tcPr>
          <w:p w14:paraId="7669961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7B5B0D0B">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w:t>
            </w:r>
          </w:p>
        </w:tc>
        <w:tc>
          <w:tcPr>
            <w:tcW w:w="3795" w:type="dxa"/>
            <w:noWrap/>
            <w:vAlign w:val="center"/>
          </w:tcPr>
          <w:p w14:paraId="69E9C6C2">
            <w:pPr>
              <w:keepNext w:val="0"/>
              <w:keepLines w:val="0"/>
              <w:pageBreakBefore w:val="0"/>
              <w:widowControl w:val="0"/>
              <w:topLinePunct w:val="0"/>
              <w:bidi w:val="0"/>
              <w:spacing w:line="260" w:lineRule="exact"/>
              <w:rPr>
                <w:rFonts w:ascii="Times New Roman" w:hAnsi="Times New Roman" w:eastAsia="方正仿宋简体"/>
                <w:color w:val="auto"/>
                <w:spacing w:val="-12"/>
                <w:sz w:val="24"/>
                <w:highlight w:val="none"/>
              </w:rPr>
            </w:pPr>
            <w:r>
              <w:rPr>
                <w:rFonts w:hint="eastAsia" w:ascii="Times New Roman" w:hAnsi="Times New Roman" w:eastAsia="方正仿宋简体"/>
                <w:color w:val="auto"/>
                <w:sz w:val="24"/>
                <w:highlight w:val="none"/>
              </w:rPr>
              <w:t>按炉口计补偿</w:t>
            </w:r>
          </w:p>
        </w:tc>
      </w:tr>
      <w:tr w14:paraId="5661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587BF55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0587FB1">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瓷贴</w:t>
            </w:r>
          </w:p>
        </w:tc>
        <w:tc>
          <w:tcPr>
            <w:tcW w:w="992" w:type="dxa"/>
            <w:noWrap/>
            <w:vAlign w:val="center"/>
          </w:tcPr>
          <w:p w14:paraId="719D876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5A19283A">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w:t>
            </w:r>
          </w:p>
        </w:tc>
        <w:tc>
          <w:tcPr>
            <w:tcW w:w="3795" w:type="dxa"/>
            <w:noWrap/>
            <w:vAlign w:val="center"/>
          </w:tcPr>
          <w:p w14:paraId="328093E7">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按炉口计补偿</w:t>
            </w:r>
          </w:p>
        </w:tc>
      </w:tr>
      <w:tr w14:paraId="06A6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99" w:hRule="exact"/>
          <w:jc w:val="center"/>
        </w:trPr>
        <w:tc>
          <w:tcPr>
            <w:tcW w:w="893" w:type="dxa"/>
            <w:vMerge w:val="continue"/>
            <w:noWrap/>
            <w:vAlign w:val="center"/>
          </w:tcPr>
          <w:p w14:paraId="3FAEEE2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5B764A6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灶台面</w:t>
            </w:r>
          </w:p>
        </w:tc>
        <w:tc>
          <w:tcPr>
            <w:tcW w:w="992" w:type="dxa"/>
            <w:noWrap/>
            <w:vAlign w:val="center"/>
          </w:tcPr>
          <w:p w14:paraId="2788E32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09E36A3A">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w:t>
            </w:r>
          </w:p>
        </w:tc>
        <w:tc>
          <w:tcPr>
            <w:tcW w:w="3795" w:type="dxa"/>
            <w:noWrap/>
            <w:vAlign w:val="center"/>
          </w:tcPr>
          <w:p w14:paraId="0F8D83D4">
            <w:pPr>
              <w:keepNext w:val="0"/>
              <w:keepLines w:val="0"/>
              <w:pageBreakBefore w:val="0"/>
              <w:widowControl w:val="0"/>
              <w:topLinePunct w:val="0"/>
              <w:bidi w:val="0"/>
              <w:spacing w:line="3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花岗岩、大理石或不锈钢面台，下部简易层板，无柜门</w:t>
            </w:r>
          </w:p>
        </w:tc>
      </w:tr>
      <w:tr w14:paraId="43A6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71" w:hRule="exact"/>
          <w:jc w:val="center"/>
        </w:trPr>
        <w:tc>
          <w:tcPr>
            <w:tcW w:w="893" w:type="dxa"/>
            <w:vMerge w:val="continue"/>
            <w:noWrap/>
            <w:vAlign w:val="center"/>
          </w:tcPr>
          <w:p w14:paraId="03E1621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74121780">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焙灶</w:t>
            </w:r>
          </w:p>
        </w:tc>
        <w:tc>
          <w:tcPr>
            <w:tcW w:w="992" w:type="dxa"/>
            <w:noWrap/>
            <w:vAlign w:val="center"/>
          </w:tcPr>
          <w:p w14:paraId="381D8DF3">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3280D598">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300</w:t>
            </w:r>
          </w:p>
        </w:tc>
        <w:tc>
          <w:tcPr>
            <w:tcW w:w="3795" w:type="dxa"/>
            <w:noWrap/>
            <w:vAlign w:val="center"/>
          </w:tcPr>
          <w:p w14:paraId="2F3A8AAE">
            <w:pPr>
              <w:keepNext w:val="0"/>
              <w:keepLines w:val="0"/>
              <w:pageBreakBefore w:val="0"/>
              <w:widowControl w:val="0"/>
              <w:topLinePunct w:val="0"/>
              <w:bidi w:val="0"/>
              <w:spacing w:line="360" w:lineRule="exact"/>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用于烘焙龙眼、荔枝等</w:t>
            </w:r>
          </w:p>
        </w:tc>
      </w:tr>
      <w:tr w14:paraId="0C11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restart"/>
            <w:noWrap/>
            <w:vAlign w:val="center"/>
          </w:tcPr>
          <w:p w14:paraId="533FF67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整体橱柜</w:t>
            </w:r>
          </w:p>
        </w:tc>
        <w:tc>
          <w:tcPr>
            <w:tcW w:w="1999" w:type="dxa"/>
            <w:noWrap/>
            <w:vAlign w:val="center"/>
          </w:tcPr>
          <w:p w14:paraId="0CFD79E1">
            <w:pPr>
              <w:keepNext w:val="0"/>
              <w:keepLines w:val="0"/>
              <w:pageBreakBefore w:val="0"/>
              <w:widowControl w:val="0"/>
              <w:topLinePunct w:val="0"/>
              <w:bidi w:val="0"/>
              <w:spacing w:line="40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台面</w:t>
            </w:r>
          </w:p>
        </w:tc>
        <w:tc>
          <w:tcPr>
            <w:tcW w:w="992" w:type="dxa"/>
            <w:noWrap/>
            <w:vAlign w:val="center"/>
          </w:tcPr>
          <w:p w14:paraId="5D5C1D32">
            <w:pPr>
              <w:keepNext w:val="0"/>
              <w:keepLines w:val="0"/>
              <w:pageBreakBefore w:val="0"/>
              <w:widowControl w:val="0"/>
              <w:topLinePunct w:val="0"/>
              <w:bidi w:val="0"/>
              <w:spacing w:line="40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243F3714">
            <w:pPr>
              <w:keepNext w:val="0"/>
              <w:keepLines w:val="0"/>
              <w:pageBreakBefore w:val="0"/>
              <w:widowControl w:val="0"/>
              <w:topLinePunct w:val="0"/>
              <w:bidi w:val="0"/>
              <w:spacing w:line="400" w:lineRule="exact"/>
              <w:jc w:val="center"/>
              <w:rPr>
                <w:rFonts w:ascii="Times New Roman" w:hAnsi="Times New Roman"/>
                <w:color w:val="auto"/>
                <w:sz w:val="24"/>
                <w:highlight w:val="none"/>
              </w:rPr>
            </w:pPr>
            <w:r>
              <w:rPr>
                <w:rFonts w:ascii="Times New Roman" w:hAnsi="Times New Roman"/>
                <w:color w:val="auto"/>
                <w:sz w:val="24"/>
                <w:highlight w:val="none"/>
              </w:rPr>
              <w:t>300</w:t>
            </w:r>
          </w:p>
        </w:tc>
        <w:tc>
          <w:tcPr>
            <w:tcW w:w="3795" w:type="dxa"/>
            <w:noWrap/>
            <w:vAlign w:val="center"/>
          </w:tcPr>
          <w:p w14:paraId="2DDE1A8E">
            <w:pPr>
              <w:keepNext w:val="0"/>
              <w:keepLines w:val="0"/>
              <w:pageBreakBefore w:val="0"/>
              <w:widowControl w:val="0"/>
              <w:topLinePunct w:val="0"/>
              <w:bidi w:val="0"/>
              <w:spacing w:line="40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花岗岩或人造石英石台面</w:t>
            </w:r>
          </w:p>
        </w:tc>
      </w:tr>
      <w:tr w14:paraId="6877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662522A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FBC9816">
            <w:pPr>
              <w:keepNext w:val="0"/>
              <w:keepLines w:val="0"/>
              <w:pageBreakBefore w:val="0"/>
              <w:widowControl w:val="0"/>
              <w:topLinePunct w:val="0"/>
              <w:bidi w:val="0"/>
              <w:spacing w:line="40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下柜</w:t>
            </w:r>
          </w:p>
        </w:tc>
        <w:tc>
          <w:tcPr>
            <w:tcW w:w="992" w:type="dxa"/>
            <w:noWrap/>
            <w:vAlign w:val="center"/>
          </w:tcPr>
          <w:p w14:paraId="175AB72C">
            <w:pPr>
              <w:keepNext w:val="0"/>
              <w:keepLines w:val="0"/>
              <w:pageBreakBefore w:val="0"/>
              <w:widowControl w:val="0"/>
              <w:topLinePunct w:val="0"/>
              <w:bidi w:val="0"/>
              <w:spacing w:line="40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49089228">
            <w:pPr>
              <w:keepNext w:val="0"/>
              <w:keepLines w:val="0"/>
              <w:pageBreakBefore w:val="0"/>
              <w:widowControl w:val="0"/>
              <w:topLinePunct w:val="0"/>
              <w:bidi w:val="0"/>
              <w:spacing w:line="400" w:lineRule="exact"/>
              <w:jc w:val="center"/>
              <w:rPr>
                <w:rFonts w:ascii="Times New Roman" w:hAnsi="Times New Roman"/>
                <w:color w:val="auto"/>
                <w:sz w:val="24"/>
                <w:highlight w:val="none"/>
              </w:rPr>
            </w:pPr>
            <w:r>
              <w:rPr>
                <w:rFonts w:ascii="Times New Roman" w:hAnsi="Times New Roman"/>
                <w:color w:val="auto"/>
                <w:sz w:val="24"/>
                <w:highlight w:val="none"/>
              </w:rPr>
              <w:t>600</w:t>
            </w:r>
          </w:p>
        </w:tc>
        <w:tc>
          <w:tcPr>
            <w:tcW w:w="3795" w:type="dxa"/>
            <w:noWrap/>
            <w:vAlign w:val="center"/>
          </w:tcPr>
          <w:p w14:paraId="3E916AE2">
            <w:pPr>
              <w:keepNext w:val="0"/>
              <w:keepLines w:val="0"/>
              <w:pageBreakBefore w:val="0"/>
              <w:widowControl w:val="0"/>
              <w:topLinePunct w:val="0"/>
              <w:bidi w:val="0"/>
              <w:spacing w:line="400" w:lineRule="exact"/>
              <w:rPr>
                <w:rFonts w:ascii="Times New Roman" w:hAnsi="Times New Roman" w:eastAsia="方正仿宋简体"/>
                <w:b/>
                <w:bCs/>
                <w:color w:val="auto"/>
                <w:spacing w:val="-10"/>
                <w:sz w:val="24"/>
                <w:highlight w:val="none"/>
              </w:rPr>
            </w:pPr>
            <w:r>
              <w:rPr>
                <w:rFonts w:hint="eastAsia" w:ascii="Times New Roman" w:hAnsi="Times New Roman" w:eastAsia="方正仿宋简体"/>
                <w:color w:val="auto"/>
                <w:spacing w:val="-10"/>
                <w:sz w:val="24"/>
                <w:highlight w:val="none"/>
              </w:rPr>
              <w:t>防潮板定制，柜门完整</w:t>
            </w:r>
          </w:p>
        </w:tc>
      </w:tr>
      <w:tr w14:paraId="44B5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608B5B7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4F2F97D4">
            <w:pPr>
              <w:keepNext w:val="0"/>
              <w:keepLines w:val="0"/>
              <w:pageBreakBefore w:val="0"/>
              <w:widowControl w:val="0"/>
              <w:topLinePunct w:val="0"/>
              <w:bidi w:val="0"/>
              <w:spacing w:line="40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上柜</w:t>
            </w:r>
          </w:p>
        </w:tc>
        <w:tc>
          <w:tcPr>
            <w:tcW w:w="992" w:type="dxa"/>
            <w:noWrap/>
            <w:vAlign w:val="center"/>
          </w:tcPr>
          <w:p w14:paraId="2954E6E6">
            <w:pPr>
              <w:keepNext w:val="0"/>
              <w:keepLines w:val="0"/>
              <w:pageBreakBefore w:val="0"/>
              <w:widowControl w:val="0"/>
              <w:topLinePunct w:val="0"/>
              <w:bidi w:val="0"/>
              <w:spacing w:line="40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32084D10">
            <w:pPr>
              <w:keepNext w:val="0"/>
              <w:keepLines w:val="0"/>
              <w:pageBreakBefore w:val="0"/>
              <w:widowControl w:val="0"/>
              <w:topLinePunct w:val="0"/>
              <w:bidi w:val="0"/>
              <w:spacing w:line="400" w:lineRule="exact"/>
              <w:jc w:val="center"/>
              <w:rPr>
                <w:rFonts w:ascii="Times New Roman" w:hAnsi="Times New Roman"/>
                <w:color w:val="auto"/>
                <w:sz w:val="24"/>
                <w:highlight w:val="none"/>
              </w:rPr>
            </w:pPr>
            <w:r>
              <w:rPr>
                <w:rFonts w:ascii="Times New Roman" w:hAnsi="Times New Roman"/>
                <w:color w:val="auto"/>
                <w:sz w:val="24"/>
                <w:highlight w:val="none"/>
              </w:rPr>
              <w:t>350</w:t>
            </w:r>
          </w:p>
        </w:tc>
        <w:tc>
          <w:tcPr>
            <w:tcW w:w="3795" w:type="dxa"/>
            <w:noWrap/>
            <w:vAlign w:val="center"/>
          </w:tcPr>
          <w:p w14:paraId="4AEB65E2">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人造板定制，柜门完整</w:t>
            </w:r>
          </w:p>
        </w:tc>
      </w:tr>
      <w:tr w14:paraId="2C49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24" w:hRule="exact"/>
          <w:jc w:val="center"/>
        </w:trPr>
        <w:tc>
          <w:tcPr>
            <w:tcW w:w="893" w:type="dxa"/>
            <w:vMerge w:val="restart"/>
            <w:noWrap/>
            <w:vAlign w:val="center"/>
          </w:tcPr>
          <w:p w14:paraId="28A6BA5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水池</w:t>
            </w:r>
          </w:p>
          <w:p w14:paraId="6BBDE7F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水柜</w:t>
            </w:r>
          </w:p>
        </w:tc>
        <w:tc>
          <w:tcPr>
            <w:tcW w:w="1999" w:type="dxa"/>
            <w:noWrap/>
            <w:vAlign w:val="center"/>
          </w:tcPr>
          <w:p w14:paraId="2DF0B65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抹水泥砖</w:t>
            </w:r>
          </w:p>
        </w:tc>
        <w:tc>
          <w:tcPr>
            <w:tcW w:w="992" w:type="dxa"/>
            <w:noWrap/>
            <w:vAlign w:val="center"/>
          </w:tcPr>
          <w:p w14:paraId="7CB4369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77622DB9">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100</w:t>
            </w:r>
          </w:p>
        </w:tc>
        <w:tc>
          <w:tcPr>
            <w:tcW w:w="3795" w:type="dxa"/>
            <w:vMerge w:val="restart"/>
            <w:noWrap/>
            <w:vAlign w:val="center"/>
          </w:tcPr>
          <w:p w14:paraId="3FB88547">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指厨房或浴室内洗刷用小水池小水柜或室外搭设</w:t>
            </w:r>
          </w:p>
        </w:tc>
      </w:tr>
      <w:tr w14:paraId="44EB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89" w:hRule="exact"/>
          <w:jc w:val="center"/>
        </w:trPr>
        <w:tc>
          <w:tcPr>
            <w:tcW w:w="893" w:type="dxa"/>
            <w:vMerge w:val="continue"/>
            <w:noWrap/>
            <w:vAlign w:val="center"/>
          </w:tcPr>
          <w:p w14:paraId="627D9CE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5767B39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砖贴瓷砖</w:t>
            </w:r>
          </w:p>
        </w:tc>
        <w:tc>
          <w:tcPr>
            <w:tcW w:w="992" w:type="dxa"/>
            <w:noWrap/>
            <w:vAlign w:val="center"/>
          </w:tcPr>
          <w:p w14:paraId="0F452C6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19B7E211">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150</w:t>
            </w:r>
          </w:p>
        </w:tc>
        <w:tc>
          <w:tcPr>
            <w:tcW w:w="3795" w:type="dxa"/>
            <w:vMerge w:val="continue"/>
            <w:noWrap/>
            <w:vAlign w:val="center"/>
          </w:tcPr>
          <w:p w14:paraId="4AB98C7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r>
      <w:tr w14:paraId="1D0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2761EE32">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511960C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洗面台</w:t>
            </w:r>
          </w:p>
        </w:tc>
        <w:tc>
          <w:tcPr>
            <w:tcW w:w="992" w:type="dxa"/>
            <w:noWrap/>
            <w:vAlign w:val="center"/>
          </w:tcPr>
          <w:p w14:paraId="4C0ACF6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641A8B23">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w:t>
            </w:r>
          </w:p>
        </w:tc>
        <w:tc>
          <w:tcPr>
            <w:tcW w:w="3795" w:type="dxa"/>
            <w:noWrap/>
            <w:vAlign w:val="center"/>
          </w:tcPr>
          <w:p w14:paraId="2F6C7323">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花岗岩、大理石宽式台面的</w:t>
            </w:r>
          </w:p>
        </w:tc>
      </w:tr>
      <w:tr w14:paraId="2398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71D66B3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33A838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三化厕</w:t>
            </w:r>
          </w:p>
        </w:tc>
        <w:tc>
          <w:tcPr>
            <w:tcW w:w="992" w:type="dxa"/>
            <w:noWrap/>
            <w:vAlign w:val="center"/>
          </w:tcPr>
          <w:p w14:paraId="6359384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5BBE0019">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2500</w:t>
            </w:r>
          </w:p>
        </w:tc>
        <w:tc>
          <w:tcPr>
            <w:tcW w:w="3795" w:type="dxa"/>
            <w:noWrap/>
            <w:vAlign w:val="center"/>
          </w:tcPr>
          <w:p w14:paraId="56C73035">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适用民宅</w:t>
            </w:r>
          </w:p>
        </w:tc>
      </w:tr>
      <w:tr w14:paraId="2699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36D936D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7071BF07">
            <w:pPr>
              <w:keepNext w:val="0"/>
              <w:keepLines w:val="0"/>
              <w:pageBreakBefore w:val="0"/>
              <w:widowControl w:val="0"/>
              <w:topLinePunct w:val="0"/>
              <w:bidi w:val="0"/>
              <w:spacing w:line="260" w:lineRule="exact"/>
              <w:jc w:val="center"/>
              <w:rPr>
                <w:rFonts w:ascii="Times New Roman" w:hAnsi="Times New Roman" w:eastAsia="方正仿宋简体"/>
                <w:color w:val="auto"/>
                <w:spacing w:val="-20"/>
                <w:sz w:val="24"/>
                <w:highlight w:val="none"/>
              </w:rPr>
            </w:pPr>
            <w:r>
              <w:rPr>
                <w:rFonts w:hint="eastAsia" w:ascii="Times New Roman" w:hAnsi="Times New Roman" w:eastAsia="方正仿宋简体"/>
                <w:color w:val="auto"/>
                <w:spacing w:val="-20"/>
                <w:sz w:val="24"/>
                <w:highlight w:val="none"/>
              </w:rPr>
              <w:t>蹲位</w:t>
            </w:r>
          </w:p>
        </w:tc>
        <w:tc>
          <w:tcPr>
            <w:tcW w:w="992" w:type="dxa"/>
            <w:noWrap/>
            <w:vAlign w:val="center"/>
          </w:tcPr>
          <w:p w14:paraId="0CB2E0F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02A1E139">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200</w:t>
            </w:r>
          </w:p>
        </w:tc>
        <w:tc>
          <w:tcPr>
            <w:tcW w:w="3795" w:type="dxa"/>
            <w:noWrap/>
            <w:vAlign w:val="center"/>
          </w:tcPr>
          <w:p w14:paraId="1DF4D6A7">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室内</w:t>
            </w:r>
          </w:p>
        </w:tc>
      </w:tr>
      <w:tr w14:paraId="2E3F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0C02916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40FF04C">
            <w:pPr>
              <w:keepNext w:val="0"/>
              <w:keepLines w:val="0"/>
              <w:pageBreakBefore w:val="0"/>
              <w:widowControl w:val="0"/>
              <w:topLinePunct w:val="0"/>
              <w:bidi w:val="0"/>
              <w:spacing w:line="260" w:lineRule="exact"/>
              <w:jc w:val="center"/>
              <w:rPr>
                <w:rFonts w:ascii="Times New Roman" w:hAnsi="Times New Roman" w:eastAsia="方正仿宋简体"/>
                <w:color w:val="auto"/>
                <w:spacing w:val="-20"/>
                <w:sz w:val="24"/>
                <w:highlight w:val="none"/>
              </w:rPr>
            </w:pPr>
            <w:r>
              <w:rPr>
                <w:rFonts w:hint="eastAsia" w:ascii="Times New Roman" w:hAnsi="Times New Roman" w:eastAsia="方正仿宋简体"/>
                <w:color w:val="auto"/>
                <w:spacing w:val="-20"/>
                <w:sz w:val="24"/>
                <w:highlight w:val="none"/>
              </w:rPr>
              <w:t>坐盆</w:t>
            </w:r>
          </w:p>
        </w:tc>
        <w:tc>
          <w:tcPr>
            <w:tcW w:w="992" w:type="dxa"/>
            <w:noWrap/>
            <w:vAlign w:val="center"/>
          </w:tcPr>
          <w:p w14:paraId="7624313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3E47ECB0">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w:t>
            </w:r>
          </w:p>
        </w:tc>
        <w:tc>
          <w:tcPr>
            <w:tcW w:w="3795" w:type="dxa"/>
            <w:noWrap/>
            <w:vAlign w:val="center"/>
          </w:tcPr>
          <w:p w14:paraId="6C6E29AA">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室内</w:t>
            </w:r>
          </w:p>
        </w:tc>
      </w:tr>
      <w:tr w14:paraId="2C4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746" w:hRule="exact"/>
          <w:jc w:val="center"/>
        </w:trPr>
        <w:tc>
          <w:tcPr>
            <w:tcW w:w="893" w:type="dxa"/>
            <w:vMerge w:val="restart"/>
            <w:noWrap/>
            <w:vAlign w:val="center"/>
          </w:tcPr>
          <w:p w14:paraId="05EF3A2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简易</w:t>
            </w:r>
          </w:p>
          <w:p w14:paraId="72AF356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搭盖</w:t>
            </w:r>
          </w:p>
        </w:tc>
        <w:tc>
          <w:tcPr>
            <w:tcW w:w="1999" w:type="dxa"/>
            <w:noWrap/>
            <w:vAlign w:val="center"/>
          </w:tcPr>
          <w:p w14:paraId="30082EBD">
            <w:pPr>
              <w:keepNext w:val="0"/>
              <w:keepLines w:val="0"/>
              <w:pageBreakBefore w:val="0"/>
              <w:widowControl w:val="0"/>
              <w:topLinePunct w:val="0"/>
              <w:bidi w:val="0"/>
              <w:spacing w:line="260" w:lineRule="exact"/>
              <w:jc w:val="center"/>
              <w:rPr>
                <w:rFonts w:ascii="Times New Roman" w:hAnsi="Times New Roman" w:eastAsia="方正仿宋简体"/>
                <w:snapToGrid w:val="0"/>
                <w:color w:val="auto"/>
                <w:sz w:val="24"/>
                <w:highlight w:val="none"/>
              </w:rPr>
            </w:pPr>
            <w:r>
              <w:rPr>
                <w:rFonts w:hint="eastAsia" w:ascii="Times New Roman" w:hAnsi="Times New Roman" w:eastAsia="方正仿宋简体"/>
                <w:snapToGrid w:val="0"/>
                <w:color w:val="auto"/>
                <w:sz w:val="24"/>
                <w:highlight w:val="none"/>
              </w:rPr>
              <w:t>油毛毡</w:t>
            </w:r>
          </w:p>
          <w:p w14:paraId="571EB735">
            <w:pPr>
              <w:keepNext w:val="0"/>
              <w:keepLines w:val="0"/>
              <w:pageBreakBefore w:val="0"/>
              <w:widowControl w:val="0"/>
              <w:topLinePunct w:val="0"/>
              <w:bidi w:val="0"/>
              <w:spacing w:line="260" w:lineRule="exact"/>
              <w:jc w:val="center"/>
              <w:rPr>
                <w:rFonts w:ascii="Times New Roman" w:hAnsi="Times New Roman" w:eastAsia="方正仿宋简体"/>
                <w:color w:val="auto"/>
                <w:spacing w:val="-20"/>
                <w:sz w:val="24"/>
                <w:highlight w:val="none"/>
              </w:rPr>
            </w:pPr>
            <w:r>
              <w:rPr>
                <w:rFonts w:hint="eastAsia" w:ascii="Times New Roman" w:hAnsi="Times New Roman" w:eastAsia="方正仿宋简体"/>
                <w:snapToGrid w:val="0"/>
                <w:color w:val="auto"/>
                <w:sz w:val="24"/>
                <w:highlight w:val="none"/>
              </w:rPr>
              <w:t>木棉瓦</w:t>
            </w:r>
          </w:p>
        </w:tc>
        <w:tc>
          <w:tcPr>
            <w:tcW w:w="992" w:type="dxa"/>
            <w:noWrap/>
            <w:vAlign w:val="center"/>
          </w:tcPr>
          <w:p w14:paraId="5D67B98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323078D3">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150</w:t>
            </w:r>
          </w:p>
        </w:tc>
        <w:tc>
          <w:tcPr>
            <w:tcW w:w="3795" w:type="dxa"/>
            <w:noWrap/>
            <w:vAlign w:val="center"/>
          </w:tcPr>
          <w:p w14:paraId="22E54838">
            <w:pPr>
              <w:keepNext w:val="0"/>
              <w:keepLines w:val="0"/>
              <w:pageBreakBefore w:val="0"/>
              <w:widowControl w:val="0"/>
              <w:topLinePunct w:val="0"/>
              <w:bidi w:val="0"/>
              <w:spacing w:line="260" w:lineRule="exact"/>
              <w:rPr>
                <w:rFonts w:ascii="Times New Roman" w:hAnsi="Times New Roman" w:eastAsia="方正仿宋简体"/>
                <w:snapToGrid w:val="0"/>
                <w:color w:val="auto"/>
                <w:sz w:val="24"/>
                <w:highlight w:val="none"/>
              </w:rPr>
            </w:pPr>
            <w:r>
              <w:rPr>
                <w:rFonts w:hint="eastAsia" w:ascii="Times New Roman" w:hAnsi="Times New Roman" w:eastAsia="方正仿宋简体"/>
                <w:snapToGrid w:val="0"/>
                <w:color w:val="auto"/>
                <w:sz w:val="24"/>
                <w:highlight w:val="none"/>
              </w:rPr>
              <w:t>指主架竹、木、机砖、空心砖，屋面油毛毡、木棉瓦</w:t>
            </w:r>
          </w:p>
        </w:tc>
      </w:tr>
      <w:tr w14:paraId="10C8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81" w:hRule="exact"/>
          <w:jc w:val="center"/>
        </w:trPr>
        <w:tc>
          <w:tcPr>
            <w:tcW w:w="893" w:type="dxa"/>
            <w:vMerge w:val="continue"/>
            <w:noWrap/>
            <w:vAlign w:val="center"/>
          </w:tcPr>
          <w:p w14:paraId="3A90055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171AB38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铁皮</w:t>
            </w:r>
          </w:p>
        </w:tc>
        <w:tc>
          <w:tcPr>
            <w:tcW w:w="992" w:type="dxa"/>
            <w:noWrap/>
            <w:vAlign w:val="center"/>
          </w:tcPr>
          <w:p w14:paraId="1091CAF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04B79B40">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w:t>
            </w:r>
          </w:p>
        </w:tc>
        <w:tc>
          <w:tcPr>
            <w:tcW w:w="3795" w:type="dxa"/>
            <w:noWrap/>
            <w:vAlign w:val="center"/>
          </w:tcPr>
          <w:p w14:paraId="3B8FAC1A">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指主架机砖、空心砖，屋面铁皮或彩板</w:t>
            </w:r>
          </w:p>
        </w:tc>
      </w:tr>
      <w:tr w14:paraId="1E4D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42F986A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0B0E1A2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活动板房</w:t>
            </w:r>
          </w:p>
        </w:tc>
        <w:tc>
          <w:tcPr>
            <w:tcW w:w="992" w:type="dxa"/>
            <w:noWrap/>
            <w:vAlign w:val="center"/>
          </w:tcPr>
          <w:p w14:paraId="5E971EB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548DA29A">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w:t>
            </w:r>
          </w:p>
        </w:tc>
        <w:tc>
          <w:tcPr>
            <w:tcW w:w="3795" w:type="dxa"/>
            <w:noWrap/>
            <w:vAlign w:val="center"/>
          </w:tcPr>
          <w:p w14:paraId="6E4DF424">
            <w:pPr>
              <w:keepNext w:val="0"/>
              <w:keepLines w:val="0"/>
              <w:pageBreakBefore w:val="0"/>
              <w:widowControl w:val="0"/>
              <w:topLinePunct w:val="0"/>
              <w:bidi w:val="0"/>
              <w:spacing w:line="260" w:lineRule="exact"/>
              <w:rPr>
                <w:rFonts w:ascii="Times New Roman" w:hAnsi="Times New Roman" w:eastAsia="方正仿宋简体"/>
                <w:b/>
                <w:bCs/>
                <w:color w:val="auto"/>
                <w:sz w:val="24"/>
                <w:highlight w:val="none"/>
              </w:rPr>
            </w:pPr>
          </w:p>
        </w:tc>
      </w:tr>
      <w:tr w14:paraId="1A37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088677B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6FDF112C">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集装箱</w:t>
            </w:r>
          </w:p>
        </w:tc>
        <w:tc>
          <w:tcPr>
            <w:tcW w:w="992" w:type="dxa"/>
            <w:noWrap/>
            <w:vAlign w:val="center"/>
          </w:tcPr>
          <w:p w14:paraId="5A1FD6E3">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753429AD">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900</w:t>
            </w:r>
          </w:p>
        </w:tc>
        <w:tc>
          <w:tcPr>
            <w:tcW w:w="3795" w:type="dxa"/>
            <w:noWrap/>
            <w:vAlign w:val="center"/>
          </w:tcPr>
          <w:p w14:paraId="3CD591C4">
            <w:pPr>
              <w:keepNext w:val="0"/>
              <w:keepLines w:val="0"/>
              <w:pageBreakBefore w:val="0"/>
              <w:widowControl w:val="0"/>
              <w:topLinePunct w:val="0"/>
              <w:bidi w:val="0"/>
              <w:spacing w:line="260" w:lineRule="exact"/>
              <w:rPr>
                <w:rFonts w:ascii="Times New Roman" w:hAnsi="Times New Roman" w:eastAsia="方正仿宋简体"/>
                <w:b/>
                <w:bCs/>
                <w:color w:val="auto"/>
                <w:sz w:val="24"/>
                <w:highlight w:val="none"/>
              </w:rPr>
            </w:pPr>
            <w:r>
              <w:rPr>
                <w:rFonts w:ascii="Times New Roman" w:hAnsi="Times New Roman" w:eastAsia="方正仿宋简体"/>
                <w:color w:val="auto"/>
                <w:sz w:val="24"/>
                <w:highlight w:val="none"/>
              </w:rPr>
              <w:t>迁移费用</w:t>
            </w:r>
          </w:p>
        </w:tc>
      </w:tr>
      <w:tr w14:paraId="4134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restart"/>
            <w:noWrap/>
            <w:vAlign w:val="center"/>
          </w:tcPr>
          <w:p w14:paraId="39074241">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水塔</w:t>
            </w:r>
          </w:p>
        </w:tc>
        <w:tc>
          <w:tcPr>
            <w:tcW w:w="1999" w:type="dxa"/>
            <w:noWrap/>
            <w:vAlign w:val="center"/>
          </w:tcPr>
          <w:p w14:paraId="7A029C3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不锈钢</w:t>
            </w:r>
          </w:p>
        </w:tc>
        <w:tc>
          <w:tcPr>
            <w:tcW w:w="992" w:type="dxa"/>
            <w:noWrap/>
            <w:vAlign w:val="center"/>
          </w:tcPr>
          <w:p w14:paraId="19C90CC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6E9E5575">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6</w:t>
            </w:r>
            <w:r>
              <w:rPr>
                <w:rFonts w:ascii="Times New Roman" w:hAnsi="Times New Roman"/>
                <w:color w:val="auto"/>
                <w:sz w:val="24"/>
                <w:highlight w:val="none"/>
              </w:rPr>
              <w:t>00</w:t>
            </w:r>
          </w:p>
        </w:tc>
        <w:tc>
          <w:tcPr>
            <w:tcW w:w="3795" w:type="dxa"/>
            <w:noWrap/>
            <w:vAlign w:val="center"/>
          </w:tcPr>
          <w:p w14:paraId="0B2CBC44">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1吨以上每增加1吨增加300元</w:t>
            </w:r>
          </w:p>
        </w:tc>
      </w:tr>
      <w:tr w14:paraId="4C5D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31C8EDE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4A631AA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ascii="Times New Roman" w:hAnsi="Times New Roman" w:eastAsia="方正仿宋简体"/>
                <w:color w:val="auto"/>
                <w:sz w:val="24"/>
                <w:highlight w:val="none"/>
              </w:rPr>
              <w:t>砖</w:t>
            </w:r>
          </w:p>
        </w:tc>
        <w:tc>
          <w:tcPr>
            <w:tcW w:w="992" w:type="dxa"/>
            <w:noWrap/>
            <w:vAlign w:val="center"/>
          </w:tcPr>
          <w:p w14:paraId="4C0D3B6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52E28078">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800</w:t>
            </w:r>
          </w:p>
        </w:tc>
        <w:tc>
          <w:tcPr>
            <w:tcW w:w="3795" w:type="dxa"/>
            <w:noWrap/>
            <w:vAlign w:val="center"/>
          </w:tcPr>
          <w:p w14:paraId="5DE190CD">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3吨以上每增加1吨增加300元</w:t>
            </w:r>
          </w:p>
        </w:tc>
      </w:tr>
      <w:tr w14:paraId="2F20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5" w:hRule="exact"/>
          <w:jc w:val="center"/>
        </w:trPr>
        <w:tc>
          <w:tcPr>
            <w:tcW w:w="893" w:type="dxa"/>
            <w:vMerge w:val="continue"/>
            <w:noWrap/>
            <w:vAlign w:val="center"/>
          </w:tcPr>
          <w:p w14:paraId="06AED4F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685EF2E4">
            <w:pPr>
              <w:keepNext w:val="0"/>
              <w:keepLines w:val="0"/>
              <w:pageBreakBefore w:val="0"/>
              <w:widowControl w:val="0"/>
              <w:topLinePunct w:val="0"/>
              <w:bidi w:val="0"/>
              <w:spacing w:line="300" w:lineRule="exact"/>
              <w:jc w:val="center"/>
              <w:rPr>
                <w:rFonts w:ascii="Times New Roman" w:hAnsi="Times New Roman" w:eastAsia="方正仿宋简体"/>
                <w:color w:val="auto"/>
                <w:spacing w:val="-28"/>
                <w:sz w:val="24"/>
                <w:highlight w:val="none"/>
              </w:rPr>
            </w:pPr>
            <w:r>
              <w:rPr>
                <w:rFonts w:hint="eastAsia" w:ascii="Times New Roman" w:hAnsi="Times New Roman" w:eastAsia="方正仿宋简体"/>
                <w:color w:val="auto"/>
                <w:sz w:val="24"/>
                <w:highlight w:val="none"/>
              </w:rPr>
              <w:t>混凝土</w:t>
            </w:r>
          </w:p>
        </w:tc>
        <w:tc>
          <w:tcPr>
            <w:tcW w:w="992" w:type="dxa"/>
            <w:noWrap/>
            <w:vAlign w:val="center"/>
          </w:tcPr>
          <w:p w14:paraId="7F811B5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5EECF1B5">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300</w:t>
            </w:r>
          </w:p>
        </w:tc>
        <w:tc>
          <w:tcPr>
            <w:tcW w:w="3795" w:type="dxa"/>
            <w:noWrap/>
            <w:vAlign w:val="center"/>
          </w:tcPr>
          <w:p w14:paraId="192913B5">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3吨以上每增加1吨增加300元</w:t>
            </w:r>
          </w:p>
        </w:tc>
      </w:tr>
      <w:tr w14:paraId="3CEC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30" w:hRule="atLeast"/>
          <w:jc w:val="center"/>
        </w:trPr>
        <w:tc>
          <w:tcPr>
            <w:tcW w:w="893" w:type="dxa"/>
            <w:vMerge w:val="restart"/>
            <w:noWrap/>
            <w:vAlign w:val="center"/>
          </w:tcPr>
          <w:p w14:paraId="1EC39E5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变</w:t>
            </w:r>
          </w:p>
          <w:p w14:paraId="1685A73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压</w:t>
            </w:r>
          </w:p>
          <w:p w14:paraId="5AB87E9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器</w:t>
            </w:r>
          </w:p>
        </w:tc>
        <w:tc>
          <w:tcPr>
            <w:tcW w:w="1999" w:type="dxa"/>
            <w:noWrap/>
            <w:vAlign w:val="center"/>
          </w:tcPr>
          <w:p w14:paraId="1B22743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50千伏</w:t>
            </w:r>
          </w:p>
        </w:tc>
        <w:tc>
          <w:tcPr>
            <w:tcW w:w="992" w:type="dxa"/>
            <w:noWrap w:val="0"/>
            <w:vAlign w:val="center"/>
          </w:tcPr>
          <w:p w14:paraId="272BA07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ascii="Times New Roman" w:hAnsi="Times New Roman" w:eastAsia="方正仿宋简体"/>
                <w:color w:val="auto"/>
                <w:sz w:val="24"/>
                <w:highlight w:val="none"/>
              </w:rPr>
              <w:t>台</w:t>
            </w:r>
          </w:p>
        </w:tc>
        <w:tc>
          <w:tcPr>
            <w:tcW w:w="1306" w:type="dxa"/>
            <w:noWrap w:val="0"/>
            <w:vAlign w:val="center"/>
          </w:tcPr>
          <w:p w14:paraId="5956129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10万</w:t>
            </w:r>
          </w:p>
        </w:tc>
        <w:tc>
          <w:tcPr>
            <w:tcW w:w="3795" w:type="dxa"/>
            <w:vMerge w:val="restart"/>
            <w:noWrap/>
            <w:vAlign w:val="center"/>
          </w:tcPr>
          <w:p w14:paraId="4BB0ED1B">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迁移补偿，应提供电力部门相应发票或证明材料，或以电力部门的发票金额进行补偿</w:t>
            </w:r>
          </w:p>
        </w:tc>
      </w:tr>
      <w:tr w14:paraId="22ED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35" w:hRule="exact"/>
          <w:jc w:val="center"/>
        </w:trPr>
        <w:tc>
          <w:tcPr>
            <w:tcW w:w="893" w:type="dxa"/>
            <w:vMerge w:val="continue"/>
            <w:noWrap/>
            <w:vAlign w:val="center"/>
          </w:tcPr>
          <w:p w14:paraId="3FC7B082">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p>
        </w:tc>
        <w:tc>
          <w:tcPr>
            <w:tcW w:w="1999" w:type="dxa"/>
            <w:noWrap/>
            <w:vAlign w:val="center"/>
          </w:tcPr>
          <w:p w14:paraId="1A1B9C5B">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100千伏</w:t>
            </w:r>
          </w:p>
        </w:tc>
        <w:tc>
          <w:tcPr>
            <w:tcW w:w="992" w:type="dxa"/>
            <w:noWrap w:val="0"/>
            <w:vAlign w:val="center"/>
          </w:tcPr>
          <w:p w14:paraId="640BC25B">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0"/>
            <w:vAlign w:val="center"/>
          </w:tcPr>
          <w:p w14:paraId="45C1F524">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12万</w:t>
            </w:r>
          </w:p>
        </w:tc>
        <w:tc>
          <w:tcPr>
            <w:tcW w:w="3795" w:type="dxa"/>
            <w:vMerge w:val="continue"/>
            <w:noWrap/>
            <w:vAlign w:val="center"/>
          </w:tcPr>
          <w:p w14:paraId="5FE60820">
            <w:pPr>
              <w:keepNext w:val="0"/>
              <w:keepLines w:val="0"/>
              <w:pageBreakBefore w:val="0"/>
              <w:widowControl w:val="0"/>
              <w:topLinePunct w:val="0"/>
              <w:bidi w:val="0"/>
              <w:spacing w:line="260" w:lineRule="exact"/>
              <w:rPr>
                <w:rFonts w:hint="eastAsia" w:ascii="Times New Roman" w:hAnsi="Times New Roman" w:eastAsia="方正仿宋简体"/>
                <w:color w:val="auto"/>
                <w:sz w:val="24"/>
                <w:highlight w:val="none"/>
              </w:rPr>
            </w:pPr>
          </w:p>
        </w:tc>
      </w:tr>
      <w:tr w14:paraId="705B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08" w:hRule="exact"/>
          <w:jc w:val="center"/>
        </w:trPr>
        <w:tc>
          <w:tcPr>
            <w:tcW w:w="893" w:type="dxa"/>
            <w:vMerge w:val="continue"/>
            <w:noWrap/>
            <w:vAlign w:val="center"/>
          </w:tcPr>
          <w:p w14:paraId="6E7FFC5C">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p>
        </w:tc>
        <w:tc>
          <w:tcPr>
            <w:tcW w:w="1999" w:type="dxa"/>
            <w:noWrap/>
            <w:vAlign w:val="center"/>
          </w:tcPr>
          <w:p w14:paraId="0E5FEB69">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160千伏</w:t>
            </w:r>
          </w:p>
        </w:tc>
        <w:tc>
          <w:tcPr>
            <w:tcW w:w="992" w:type="dxa"/>
            <w:noWrap w:val="0"/>
            <w:vAlign w:val="center"/>
          </w:tcPr>
          <w:p w14:paraId="4636E97E">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0"/>
            <w:vAlign w:val="center"/>
          </w:tcPr>
          <w:p w14:paraId="66C44DB0">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13万</w:t>
            </w:r>
          </w:p>
        </w:tc>
        <w:tc>
          <w:tcPr>
            <w:tcW w:w="3795" w:type="dxa"/>
            <w:vMerge w:val="continue"/>
            <w:noWrap/>
            <w:vAlign w:val="center"/>
          </w:tcPr>
          <w:p w14:paraId="3ACD4212">
            <w:pPr>
              <w:keepNext w:val="0"/>
              <w:keepLines w:val="0"/>
              <w:pageBreakBefore w:val="0"/>
              <w:widowControl w:val="0"/>
              <w:topLinePunct w:val="0"/>
              <w:bidi w:val="0"/>
              <w:spacing w:line="260" w:lineRule="exact"/>
              <w:rPr>
                <w:rFonts w:hint="eastAsia" w:ascii="Times New Roman" w:hAnsi="Times New Roman" w:eastAsia="方正仿宋简体"/>
                <w:color w:val="auto"/>
                <w:sz w:val="24"/>
                <w:highlight w:val="none"/>
              </w:rPr>
            </w:pPr>
          </w:p>
        </w:tc>
      </w:tr>
      <w:tr w14:paraId="0205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02" w:hRule="exact"/>
          <w:jc w:val="center"/>
        </w:trPr>
        <w:tc>
          <w:tcPr>
            <w:tcW w:w="893" w:type="dxa"/>
            <w:vMerge w:val="continue"/>
            <w:noWrap/>
            <w:vAlign w:val="center"/>
          </w:tcPr>
          <w:p w14:paraId="4946158B">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p>
        </w:tc>
        <w:tc>
          <w:tcPr>
            <w:tcW w:w="1999" w:type="dxa"/>
            <w:noWrap/>
            <w:vAlign w:val="center"/>
          </w:tcPr>
          <w:p w14:paraId="59BDAD39">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200千伏</w:t>
            </w:r>
          </w:p>
        </w:tc>
        <w:tc>
          <w:tcPr>
            <w:tcW w:w="992" w:type="dxa"/>
            <w:noWrap w:val="0"/>
            <w:vAlign w:val="center"/>
          </w:tcPr>
          <w:p w14:paraId="333111DF">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0"/>
            <w:vAlign w:val="center"/>
          </w:tcPr>
          <w:p w14:paraId="0D89FB75">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13.5万</w:t>
            </w:r>
          </w:p>
        </w:tc>
        <w:tc>
          <w:tcPr>
            <w:tcW w:w="3795" w:type="dxa"/>
            <w:vMerge w:val="continue"/>
            <w:noWrap/>
            <w:vAlign w:val="center"/>
          </w:tcPr>
          <w:p w14:paraId="293E991F">
            <w:pPr>
              <w:keepNext w:val="0"/>
              <w:keepLines w:val="0"/>
              <w:pageBreakBefore w:val="0"/>
              <w:widowControl w:val="0"/>
              <w:topLinePunct w:val="0"/>
              <w:bidi w:val="0"/>
              <w:spacing w:line="260" w:lineRule="exact"/>
              <w:rPr>
                <w:rFonts w:hint="eastAsia" w:ascii="Times New Roman" w:hAnsi="Times New Roman" w:eastAsia="方正仿宋简体"/>
                <w:color w:val="auto"/>
                <w:sz w:val="24"/>
                <w:highlight w:val="none"/>
              </w:rPr>
            </w:pPr>
          </w:p>
        </w:tc>
      </w:tr>
      <w:tr w14:paraId="33C3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21" w:hRule="exact"/>
          <w:jc w:val="center"/>
        </w:trPr>
        <w:tc>
          <w:tcPr>
            <w:tcW w:w="893" w:type="dxa"/>
            <w:vMerge w:val="continue"/>
            <w:noWrap/>
            <w:vAlign w:val="center"/>
          </w:tcPr>
          <w:p w14:paraId="5809FC9D">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p>
        </w:tc>
        <w:tc>
          <w:tcPr>
            <w:tcW w:w="1999" w:type="dxa"/>
            <w:noWrap/>
            <w:vAlign w:val="center"/>
          </w:tcPr>
          <w:p w14:paraId="08B868DA">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250千伏</w:t>
            </w:r>
          </w:p>
        </w:tc>
        <w:tc>
          <w:tcPr>
            <w:tcW w:w="992" w:type="dxa"/>
            <w:noWrap w:val="0"/>
            <w:vAlign w:val="center"/>
          </w:tcPr>
          <w:p w14:paraId="72EEF99B">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0"/>
            <w:vAlign w:val="center"/>
          </w:tcPr>
          <w:p w14:paraId="474B0E81">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14万</w:t>
            </w:r>
          </w:p>
        </w:tc>
        <w:tc>
          <w:tcPr>
            <w:tcW w:w="3795" w:type="dxa"/>
            <w:vMerge w:val="continue"/>
            <w:noWrap/>
            <w:vAlign w:val="center"/>
          </w:tcPr>
          <w:p w14:paraId="4F29D9D9">
            <w:pPr>
              <w:keepNext w:val="0"/>
              <w:keepLines w:val="0"/>
              <w:pageBreakBefore w:val="0"/>
              <w:widowControl w:val="0"/>
              <w:topLinePunct w:val="0"/>
              <w:bidi w:val="0"/>
              <w:spacing w:line="260" w:lineRule="exact"/>
              <w:rPr>
                <w:rFonts w:hint="eastAsia" w:ascii="Times New Roman" w:hAnsi="Times New Roman" w:eastAsia="方正仿宋简体"/>
                <w:color w:val="auto"/>
                <w:sz w:val="24"/>
                <w:highlight w:val="none"/>
              </w:rPr>
            </w:pPr>
          </w:p>
        </w:tc>
      </w:tr>
      <w:tr w14:paraId="4A9E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42" w:hRule="exact"/>
          <w:jc w:val="center"/>
        </w:trPr>
        <w:tc>
          <w:tcPr>
            <w:tcW w:w="893" w:type="dxa"/>
            <w:vMerge w:val="restart"/>
            <w:noWrap/>
            <w:vAlign w:val="center"/>
          </w:tcPr>
          <w:p w14:paraId="0DC4A44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三</w:t>
            </w:r>
          </w:p>
          <w:p w14:paraId="6DB182F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相</w:t>
            </w:r>
          </w:p>
          <w:p w14:paraId="690A321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电</w:t>
            </w:r>
          </w:p>
        </w:tc>
        <w:tc>
          <w:tcPr>
            <w:tcW w:w="1999" w:type="dxa"/>
            <w:noWrap/>
            <w:vAlign w:val="center"/>
          </w:tcPr>
          <w:p w14:paraId="097D87D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ascii="Times New Roman" w:hAnsi="Times New Roman" w:eastAsia="方正仿宋简体"/>
                <w:color w:val="auto"/>
                <w:sz w:val="24"/>
                <w:highlight w:val="none"/>
              </w:rPr>
              <w:t>20A</w:t>
            </w:r>
          </w:p>
        </w:tc>
        <w:tc>
          <w:tcPr>
            <w:tcW w:w="992" w:type="dxa"/>
            <w:noWrap/>
            <w:vAlign w:val="center"/>
          </w:tcPr>
          <w:p w14:paraId="6FA94AD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019C0AD4">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1520</w:t>
            </w:r>
          </w:p>
        </w:tc>
        <w:tc>
          <w:tcPr>
            <w:tcW w:w="3795" w:type="dxa"/>
            <w:vMerge w:val="restart"/>
            <w:noWrap/>
            <w:vAlign w:val="center"/>
          </w:tcPr>
          <w:p w14:paraId="6551B6DC">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应提供电力部门相应的发票或证明材料</w:t>
            </w:r>
          </w:p>
        </w:tc>
      </w:tr>
      <w:tr w14:paraId="0679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54" w:hRule="exact"/>
          <w:jc w:val="center"/>
        </w:trPr>
        <w:tc>
          <w:tcPr>
            <w:tcW w:w="893" w:type="dxa"/>
            <w:vMerge w:val="continue"/>
            <w:noWrap/>
            <w:vAlign w:val="center"/>
          </w:tcPr>
          <w:p w14:paraId="6FE0FFD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71EC213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ascii="Times New Roman" w:hAnsi="Times New Roman" w:eastAsia="方正仿宋简体"/>
                <w:color w:val="auto"/>
                <w:sz w:val="24"/>
                <w:highlight w:val="none"/>
              </w:rPr>
              <w:t>40A</w:t>
            </w:r>
          </w:p>
        </w:tc>
        <w:tc>
          <w:tcPr>
            <w:tcW w:w="992" w:type="dxa"/>
            <w:noWrap/>
            <w:vAlign w:val="center"/>
          </w:tcPr>
          <w:p w14:paraId="0E57AC5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64C84A84">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3040</w:t>
            </w:r>
          </w:p>
        </w:tc>
        <w:tc>
          <w:tcPr>
            <w:tcW w:w="3795" w:type="dxa"/>
            <w:vMerge w:val="continue"/>
            <w:noWrap/>
            <w:vAlign w:val="center"/>
          </w:tcPr>
          <w:p w14:paraId="1925E09F">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488F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21" w:hRule="exact"/>
          <w:jc w:val="center"/>
        </w:trPr>
        <w:tc>
          <w:tcPr>
            <w:tcW w:w="893" w:type="dxa"/>
            <w:vMerge w:val="continue"/>
            <w:noWrap/>
            <w:vAlign w:val="center"/>
          </w:tcPr>
          <w:p w14:paraId="434D519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5542FE5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ascii="Times New Roman" w:hAnsi="Times New Roman" w:eastAsia="方正仿宋简体"/>
                <w:color w:val="auto"/>
                <w:sz w:val="24"/>
                <w:highlight w:val="none"/>
              </w:rPr>
              <w:t>60A</w:t>
            </w:r>
          </w:p>
        </w:tc>
        <w:tc>
          <w:tcPr>
            <w:tcW w:w="992" w:type="dxa"/>
            <w:noWrap/>
            <w:vAlign w:val="center"/>
          </w:tcPr>
          <w:p w14:paraId="78060C2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03FE2C12">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4560</w:t>
            </w:r>
          </w:p>
        </w:tc>
        <w:tc>
          <w:tcPr>
            <w:tcW w:w="3795" w:type="dxa"/>
            <w:vMerge w:val="continue"/>
            <w:noWrap/>
            <w:vAlign w:val="center"/>
          </w:tcPr>
          <w:p w14:paraId="54B97DBC">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6BB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34" w:hRule="exact"/>
          <w:jc w:val="center"/>
        </w:trPr>
        <w:tc>
          <w:tcPr>
            <w:tcW w:w="893" w:type="dxa"/>
            <w:vMerge w:val="restart"/>
            <w:noWrap/>
            <w:vAlign w:val="center"/>
          </w:tcPr>
          <w:p w14:paraId="6AB0D50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p w14:paraId="353D2C2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其他</w:t>
            </w:r>
          </w:p>
        </w:tc>
        <w:tc>
          <w:tcPr>
            <w:tcW w:w="1999" w:type="dxa"/>
            <w:noWrap/>
            <w:vAlign w:val="center"/>
          </w:tcPr>
          <w:p w14:paraId="2C9A78E9">
            <w:pPr>
              <w:keepNext w:val="0"/>
              <w:keepLines w:val="0"/>
              <w:pageBreakBefore w:val="0"/>
              <w:widowControl w:val="0"/>
              <w:tabs>
                <w:tab w:val="left" w:pos="807"/>
              </w:tabs>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阁楼（木、铁）</w:t>
            </w:r>
          </w:p>
        </w:tc>
        <w:tc>
          <w:tcPr>
            <w:tcW w:w="992" w:type="dxa"/>
            <w:noWrap/>
            <w:vAlign w:val="center"/>
          </w:tcPr>
          <w:p w14:paraId="3A281ED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0941C939">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180</w:t>
            </w:r>
          </w:p>
        </w:tc>
        <w:tc>
          <w:tcPr>
            <w:tcW w:w="3795" w:type="dxa"/>
            <w:vMerge w:val="restart"/>
            <w:noWrap/>
            <w:vAlign w:val="center"/>
          </w:tcPr>
          <w:p w14:paraId="23EA3DC6">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与房屋同时建造且层高</w:t>
            </w:r>
            <w:r>
              <w:rPr>
                <w:rFonts w:ascii="Times New Roman" w:hAnsi="Times New Roman" w:eastAsia="方正仿宋简体"/>
                <w:color w:val="auto"/>
                <w:sz w:val="24"/>
                <w:highlight w:val="none"/>
              </w:rPr>
              <w:t>H&lt;1.6m</w:t>
            </w:r>
          </w:p>
        </w:tc>
      </w:tr>
      <w:tr w14:paraId="376E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710" w:hRule="exact"/>
          <w:jc w:val="center"/>
        </w:trPr>
        <w:tc>
          <w:tcPr>
            <w:tcW w:w="893" w:type="dxa"/>
            <w:vMerge w:val="continue"/>
            <w:noWrap/>
            <w:vAlign w:val="center"/>
          </w:tcPr>
          <w:p w14:paraId="3BC63EE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6B8847EF">
            <w:pPr>
              <w:keepNext w:val="0"/>
              <w:keepLines w:val="0"/>
              <w:pageBreakBefore w:val="0"/>
              <w:widowControl w:val="0"/>
              <w:tabs>
                <w:tab w:val="left" w:pos="807"/>
              </w:tabs>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阁楼</w:t>
            </w:r>
          </w:p>
          <w:p w14:paraId="1AABCA32">
            <w:pPr>
              <w:keepNext w:val="0"/>
              <w:keepLines w:val="0"/>
              <w:pageBreakBefore w:val="0"/>
              <w:widowControl w:val="0"/>
              <w:tabs>
                <w:tab w:val="left" w:pos="807"/>
              </w:tabs>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（钢筋混凝土）</w:t>
            </w:r>
          </w:p>
        </w:tc>
        <w:tc>
          <w:tcPr>
            <w:tcW w:w="992" w:type="dxa"/>
            <w:noWrap/>
            <w:vAlign w:val="center"/>
          </w:tcPr>
          <w:p w14:paraId="10C8B90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02174835">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450</w:t>
            </w:r>
          </w:p>
        </w:tc>
        <w:tc>
          <w:tcPr>
            <w:tcW w:w="3795" w:type="dxa"/>
            <w:vMerge w:val="continue"/>
            <w:noWrap/>
            <w:vAlign w:val="center"/>
          </w:tcPr>
          <w:p w14:paraId="4A5A030C">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4FBB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91" w:hRule="exact"/>
          <w:jc w:val="center"/>
        </w:trPr>
        <w:tc>
          <w:tcPr>
            <w:tcW w:w="893" w:type="dxa"/>
            <w:vMerge w:val="continue"/>
            <w:noWrap/>
            <w:vAlign w:val="center"/>
          </w:tcPr>
          <w:p w14:paraId="286881D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6C6E5EA4">
            <w:pPr>
              <w:keepNext w:val="0"/>
              <w:keepLines w:val="0"/>
              <w:pageBreakBefore w:val="0"/>
              <w:widowControl w:val="0"/>
              <w:topLinePunct w:val="0"/>
              <w:bidi w:val="0"/>
              <w:spacing w:line="260" w:lineRule="exact"/>
              <w:jc w:val="center"/>
              <w:rPr>
                <w:rFonts w:hint="eastAsia"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坡屋面阁楼</w:t>
            </w:r>
          </w:p>
          <w:p w14:paraId="6085D7A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（钢筋混凝土）</w:t>
            </w:r>
          </w:p>
        </w:tc>
        <w:tc>
          <w:tcPr>
            <w:tcW w:w="992" w:type="dxa"/>
            <w:noWrap/>
            <w:vAlign w:val="center"/>
          </w:tcPr>
          <w:p w14:paraId="5B98B8B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3420AC13">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800</w:t>
            </w:r>
          </w:p>
        </w:tc>
        <w:tc>
          <w:tcPr>
            <w:tcW w:w="3795" w:type="dxa"/>
            <w:vMerge w:val="continue"/>
            <w:noWrap/>
            <w:vAlign w:val="center"/>
          </w:tcPr>
          <w:p w14:paraId="1410DB86">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4AC0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54" w:hRule="exact"/>
          <w:jc w:val="center"/>
        </w:trPr>
        <w:tc>
          <w:tcPr>
            <w:tcW w:w="893" w:type="dxa"/>
            <w:vMerge w:val="continue"/>
            <w:noWrap/>
            <w:vAlign w:val="center"/>
          </w:tcPr>
          <w:p w14:paraId="4BFA9A5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55DE88E">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风楼</w:t>
            </w:r>
          </w:p>
        </w:tc>
        <w:tc>
          <w:tcPr>
            <w:tcW w:w="992" w:type="dxa"/>
            <w:noWrap/>
            <w:vAlign w:val="center"/>
          </w:tcPr>
          <w:p w14:paraId="352FC3D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55DE52F9">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w:t>
            </w:r>
          </w:p>
        </w:tc>
        <w:tc>
          <w:tcPr>
            <w:tcW w:w="3795" w:type="dxa"/>
            <w:noWrap/>
            <w:vAlign w:val="center"/>
          </w:tcPr>
          <w:p w14:paraId="108C3B8C">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0226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84" w:hRule="exact"/>
          <w:jc w:val="center"/>
        </w:trPr>
        <w:tc>
          <w:tcPr>
            <w:tcW w:w="893" w:type="dxa"/>
            <w:vMerge w:val="continue"/>
            <w:noWrap/>
            <w:vAlign w:val="center"/>
          </w:tcPr>
          <w:p w14:paraId="2D53BA3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vMerge w:val="restart"/>
            <w:noWrap/>
            <w:vAlign w:val="center"/>
          </w:tcPr>
          <w:p w14:paraId="00F17CC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壁橱</w:t>
            </w:r>
          </w:p>
        </w:tc>
        <w:tc>
          <w:tcPr>
            <w:tcW w:w="992" w:type="dxa"/>
            <w:noWrap/>
            <w:vAlign w:val="center"/>
          </w:tcPr>
          <w:p w14:paraId="2A087BE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2CBAEE20">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300-600</w:t>
            </w:r>
          </w:p>
        </w:tc>
        <w:tc>
          <w:tcPr>
            <w:tcW w:w="3795" w:type="dxa"/>
            <w:noWrap/>
            <w:vAlign w:val="center"/>
          </w:tcPr>
          <w:p w14:paraId="5E70CE34">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高度</w:t>
            </w:r>
            <w:r>
              <w:rPr>
                <w:rFonts w:ascii="Times New Roman" w:hAnsi="Times New Roman" w:eastAsia="方正仿宋简体"/>
                <w:color w:val="auto"/>
                <w:sz w:val="24"/>
                <w:highlight w:val="none"/>
              </w:rPr>
              <w:t>1.5-2.0</w:t>
            </w:r>
            <w:r>
              <w:rPr>
                <w:rFonts w:hint="eastAsia" w:ascii="Times New Roman" w:hAnsi="Times New Roman" w:eastAsia="方正仿宋简体"/>
                <w:color w:val="auto"/>
                <w:sz w:val="24"/>
                <w:highlight w:val="none"/>
              </w:rPr>
              <w:t>米，简易木板、门扇（或无门扇）</w:t>
            </w:r>
          </w:p>
        </w:tc>
      </w:tr>
      <w:tr w14:paraId="098D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759" w:hRule="exact"/>
          <w:jc w:val="center"/>
        </w:trPr>
        <w:tc>
          <w:tcPr>
            <w:tcW w:w="893" w:type="dxa"/>
            <w:vMerge w:val="continue"/>
            <w:noWrap/>
            <w:vAlign w:val="center"/>
          </w:tcPr>
          <w:p w14:paraId="22F112C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vMerge w:val="continue"/>
            <w:noWrap/>
            <w:vAlign w:val="center"/>
          </w:tcPr>
          <w:p w14:paraId="3F62FFC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992" w:type="dxa"/>
            <w:noWrap/>
            <w:vAlign w:val="center"/>
          </w:tcPr>
          <w:p w14:paraId="3168651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4CFB60C1">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700-900</w:t>
            </w:r>
          </w:p>
        </w:tc>
        <w:tc>
          <w:tcPr>
            <w:tcW w:w="3795" w:type="dxa"/>
            <w:noWrap/>
            <w:vAlign w:val="center"/>
          </w:tcPr>
          <w:p w14:paraId="074471E4">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高度</w:t>
            </w:r>
            <w:r>
              <w:rPr>
                <w:rFonts w:ascii="Times New Roman" w:hAnsi="Times New Roman" w:eastAsia="方正仿宋简体"/>
                <w:color w:val="auto"/>
                <w:sz w:val="24"/>
                <w:highlight w:val="none"/>
              </w:rPr>
              <w:t>1.5-2.2</w:t>
            </w:r>
            <w:r>
              <w:rPr>
                <w:rFonts w:hint="eastAsia" w:ascii="Times New Roman" w:hAnsi="Times New Roman" w:eastAsia="方正仿宋简体"/>
                <w:color w:val="auto"/>
                <w:sz w:val="24"/>
                <w:highlight w:val="none"/>
              </w:rPr>
              <w:t>米，精制木板、有门扇或移门</w:t>
            </w:r>
          </w:p>
        </w:tc>
      </w:tr>
      <w:tr w14:paraId="54F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84" w:hRule="exact"/>
          <w:jc w:val="center"/>
        </w:trPr>
        <w:tc>
          <w:tcPr>
            <w:tcW w:w="893" w:type="dxa"/>
            <w:vMerge w:val="continue"/>
            <w:noWrap/>
            <w:vAlign w:val="center"/>
          </w:tcPr>
          <w:p w14:paraId="0863090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vMerge w:val="continue"/>
            <w:noWrap/>
            <w:vAlign w:val="center"/>
          </w:tcPr>
          <w:p w14:paraId="3F34AAB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992" w:type="dxa"/>
            <w:noWrap/>
            <w:vAlign w:val="center"/>
          </w:tcPr>
          <w:p w14:paraId="6C45CFD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米</w:t>
            </w:r>
          </w:p>
        </w:tc>
        <w:tc>
          <w:tcPr>
            <w:tcW w:w="1306" w:type="dxa"/>
            <w:noWrap/>
            <w:vAlign w:val="center"/>
          </w:tcPr>
          <w:p w14:paraId="7A72A03C">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pacing w:val="-11"/>
                <w:sz w:val="24"/>
                <w:highlight w:val="none"/>
              </w:rPr>
              <w:t>1000-1200</w:t>
            </w:r>
          </w:p>
        </w:tc>
        <w:tc>
          <w:tcPr>
            <w:tcW w:w="3795" w:type="dxa"/>
            <w:noWrap/>
            <w:vAlign w:val="center"/>
          </w:tcPr>
          <w:p w14:paraId="18CC31F5">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高度</w:t>
            </w:r>
            <w:r>
              <w:rPr>
                <w:rFonts w:ascii="Times New Roman" w:hAnsi="Times New Roman" w:eastAsia="方正仿宋简体"/>
                <w:color w:val="auto"/>
                <w:sz w:val="24"/>
                <w:highlight w:val="none"/>
              </w:rPr>
              <w:t>2.2-2.8</w:t>
            </w:r>
            <w:r>
              <w:rPr>
                <w:rFonts w:hint="eastAsia" w:ascii="Times New Roman" w:hAnsi="Times New Roman" w:eastAsia="方正仿宋简体"/>
                <w:color w:val="auto"/>
                <w:sz w:val="24"/>
                <w:highlight w:val="none"/>
              </w:rPr>
              <w:t>米及以上，成品定制集成壁橱</w:t>
            </w:r>
          </w:p>
        </w:tc>
      </w:tr>
      <w:tr w14:paraId="572D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24" w:hRule="exact"/>
          <w:jc w:val="center"/>
        </w:trPr>
        <w:tc>
          <w:tcPr>
            <w:tcW w:w="893" w:type="dxa"/>
            <w:vMerge w:val="continue"/>
            <w:noWrap/>
            <w:vAlign w:val="center"/>
          </w:tcPr>
          <w:p w14:paraId="6A979752">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4D9BEA1">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浴室、茅厕</w:t>
            </w:r>
          </w:p>
        </w:tc>
        <w:tc>
          <w:tcPr>
            <w:tcW w:w="992" w:type="dxa"/>
            <w:noWrap/>
            <w:vAlign w:val="center"/>
          </w:tcPr>
          <w:p w14:paraId="060D0BF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间</w:t>
            </w:r>
          </w:p>
        </w:tc>
        <w:tc>
          <w:tcPr>
            <w:tcW w:w="1306" w:type="dxa"/>
            <w:noWrap/>
            <w:vAlign w:val="center"/>
          </w:tcPr>
          <w:p w14:paraId="74EC3155">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650</w:t>
            </w:r>
          </w:p>
        </w:tc>
        <w:tc>
          <w:tcPr>
            <w:tcW w:w="3795" w:type="dxa"/>
            <w:noWrap/>
            <w:vAlign w:val="center"/>
          </w:tcPr>
          <w:p w14:paraId="6A0E80AA">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指室外单独建造</w:t>
            </w:r>
          </w:p>
        </w:tc>
      </w:tr>
      <w:tr w14:paraId="4708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494" w:hRule="exact"/>
          <w:jc w:val="center"/>
        </w:trPr>
        <w:tc>
          <w:tcPr>
            <w:tcW w:w="893" w:type="dxa"/>
            <w:vMerge w:val="continue"/>
            <w:noWrap/>
            <w:vAlign w:val="center"/>
          </w:tcPr>
          <w:p w14:paraId="22F704B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0BBD8DDB">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有围防晒台</w:t>
            </w:r>
          </w:p>
        </w:tc>
        <w:tc>
          <w:tcPr>
            <w:tcW w:w="992" w:type="dxa"/>
            <w:noWrap/>
            <w:vAlign w:val="center"/>
          </w:tcPr>
          <w:p w14:paraId="3B44C9F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平方米</w:t>
            </w:r>
          </w:p>
        </w:tc>
        <w:tc>
          <w:tcPr>
            <w:tcW w:w="1306" w:type="dxa"/>
            <w:noWrap/>
            <w:vAlign w:val="center"/>
          </w:tcPr>
          <w:p w14:paraId="10A5FAD3">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150</w:t>
            </w:r>
          </w:p>
        </w:tc>
        <w:tc>
          <w:tcPr>
            <w:tcW w:w="3795" w:type="dxa"/>
            <w:noWrap/>
            <w:vAlign w:val="center"/>
          </w:tcPr>
          <w:p w14:paraId="412CA15A">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22F1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69" w:hRule="exact"/>
          <w:jc w:val="center"/>
        </w:trPr>
        <w:tc>
          <w:tcPr>
            <w:tcW w:w="893" w:type="dxa"/>
            <w:vMerge w:val="continue"/>
            <w:noWrap/>
            <w:vAlign w:val="center"/>
          </w:tcPr>
          <w:p w14:paraId="4909C4A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4B61A6A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室外楼梯（铁）</w:t>
            </w:r>
          </w:p>
        </w:tc>
        <w:tc>
          <w:tcPr>
            <w:tcW w:w="992" w:type="dxa"/>
            <w:noWrap/>
            <w:vAlign w:val="center"/>
          </w:tcPr>
          <w:p w14:paraId="6392E61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台阶</w:t>
            </w:r>
          </w:p>
        </w:tc>
        <w:tc>
          <w:tcPr>
            <w:tcW w:w="1306" w:type="dxa"/>
            <w:noWrap/>
            <w:vAlign w:val="center"/>
          </w:tcPr>
          <w:p w14:paraId="4F9D93A5">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80</w:t>
            </w:r>
          </w:p>
        </w:tc>
        <w:tc>
          <w:tcPr>
            <w:tcW w:w="3795" w:type="dxa"/>
            <w:noWrap/>
            <w:vAlign w:val="center"/>
          </w:tcPr>
          <w:p w14:paraId="4E1386AB">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不锈钢材质参照此项</w:t>
            </w:r>
          </w:p>
        </w:tc>
      </w:tr>
      <w:tr w14:paraId="679E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24" w:hRule="exact"/>
          <w:jc w:val="center"/>
        </w:trPr>
        <w:tc>
          <w:tcPr>
            <w:tcW w:w="893" w:type="dxa"/>
            <w:vMerge w:val="continue"/>
            <w:noWrap/>
            <w:vAlign w:val="center"/>
          </w:tcPr>
          <w:p w14:paraId="545390E3">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3004CF38">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化粪池</w:t>
            </w:r>
          </w:p>
        </w:tc>
        <w:tc>
          <w:tcPr>
            <w:tcW w:w="992" w:type="dxa"/>
            <w:noWrap/>
            <w:vAlign w:val="center"/>
          </w:tcPr>
          <w:p w14:paraId="0A4BD82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立方米</w:t>
            </w:r>
          </w:p>
        </w:tc>
        <w:tc>
          <w:tcPr>
            <w:tcW w:w="1306" w:type="dxa"/>
            <w:noWrap/>
            <w:vAlign w:val="center"/>
          </w:tcPr>
          <w:p w14:paraId="42897031">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400</w:t>
            </w:r>
          </w:p>
        </w:tc>
        <w:tc>
          <w:tcPr>
            <w:tcW w:w="3795" w:type="dxa"/>
            <w:noWrap/>
            <w:vAlign w:val="center"/>
          </w:tcPr>
          <w:p w14:paraId="68188B6D">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适用企业</w:t>
            </w:r>
          </w:p>
        </w:tc>
      </w:tr>
      <w:tr w14:paraId="5BF4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39" w:hRule="exact"/>
          <w:jc w:val="center"/>
        </w:trPr>
        <w:tc>
          <w:tcPr>
            <w:tcW w:w="893" w:type="dxa"/>
            <w:vMerge w:val="continue"/>
            <w:noWrap/>
            <w:vAlign w:val="center"/>
          </w:tcPr>
          <w:p w14:paraId="13F7BA12">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07C2E7A9">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太阳能</w:t>
            </w:r>
          </w:p>
        </w:tc>
        <w:tc>
          <w:tcPr>
            <w:tcW w:w="992" w:type="dxa"/>
            <w:noWrap/>
            <w:vAlign w:val="center"/>
          </w:tcPr>
          <w:p w14:paraId="53980A80">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ign w:val="center"/>
          </w:tcPr>
          <w:p w14:paraId="4E07FC56">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3000</w:t>
            </w:r>
          </w:p>
        </w:tc>
        <w:tc>
          <w:tcPr>
            <w:tcW w:w="3795" w:type="dxa"/>
            <w:noWrap/>
            <w:vAlign w:val="center"/>
          </w:tcPr>
          <w:p w14:paraId="7BE2FDDA">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6CA7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69" w:hRule="exact"/>
          <w:jc w:val="center"/>
        </w:trPr>
        <w:tc>
          <w:tcPr>
            <w:tcW w:w="893" w:type="dxa"/>
            <w:vMerge w:val="continue"/>
            <w:noWrap/>
            <w:vAlign w:val="center"/>
          </w:tcPr>
          <w:p w14:paraId="3C00388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7A4591C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空气能</w:t>
            </w:r>
          </w:p>
        </w:tc>
        <w:tc>
          <w:tcPr>
            <w:tcW w:w="992" w:type="dxa"/>
            <w:noWrap/>
            <w:vAlign w:val="center"/>
          </w:tcPr>
          <w:p w14:paraId="6A6B8996">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ign w:val="center"/>
          </w:tcPr>
          <w:p w14:paraId="46066008">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3000</w:t>
            </w:r>
          </w:p>
        </w:tc>
        <w:tc>
          <w:tcPr>
            <w:tcW w:w="3795" w:type="dxa"/>
            <w:noWrap/>
            <w:vAlign w:val="center"/>
          </w:tcPr>
          <w:p w14:paraId="4BDE9EDE">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指迁移费用</w:t>
            </w:r>
          </w:p>
        </w:tc>
      </w:tr>
      <w:tr w14:paraId="546E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64" w:hRule="exact"/>
          <w:jc w:val="center"/>
        </w:trPr>
        <w:tc>
          <w:tcPr>
            <w:tcW w:w="893" w:type="dxa"/>
            <w:vMerge w:val="continue"/>
            <w:noWrap/>
            <w:vAlign w:val="center"/>
          </w:tcPr>
          <w:p w14:paraId="6EAAC90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1912706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路灯</w:t>
            </w:r>
          </w:p>
        </w:tc>
        <w:tc>
          <w:tcPr>
            <w:tcW w:w="992" w:type="dxa"/>
            <w:noWrap/>
            <w:vAlign w:val="center"/>
          </w:tcPr>
          <w:p w14:paraId="10734E9F">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杆</w:t>
            </w:r>
          </w:p>
        </w:tc>
        <w:tc>
          <w:tcPr>
            <w:tcW w:w="1306" w:type="dxa"/>
            <w:noWrap/>
            <w:vAlign w:val="center"/>
          </w:tcPr>
          <w:p w14:paraId="3ACCCE66">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300</w:t>
            </w:r>
          </w:p>
        </w:tc>
        <w:tc>
          <w:tcPr>
            <w:tcW w:w="3795" w:type="dxa"/>
            <w:noWrap/>
            <w:vAlign w:val="center"/>
          </w:tcPr>
          <w:p w14:paraId="5EE99122">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指庭院或露台照明且带有灯杆等的</w:t>
            </w:r>
          </w:p>
        </w:tc>
      </w:tr>
      <w:tr w14:paraId="16FC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34" w:hRule="exact"/>
          <w:jc w:val="center"/>
        </w:trPr>
        <w:tc>
          <w:tcPr>
            <w:tcW w:w="893" w:type="dxa"/>
            <w:vMerge w:val="continue"/>
            <w:noWrap/>
            <w:vAlign w:val="center"/>
          </w:tcPr>
          <w:p w14:paraId="3C809F4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CE4D2A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空调移机</w:t>
            </w:r>
          </w:p>
        </w:tc>
        <w:tc>
          <w:tcPr>
            <w:tcW w:w="992" w:type="dxa"/>
            <w:noWrap/>
            <w:vAlign w:val="center"/>
          </w:tcPr>
          <w:p w14:paraId="047E0B6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台</w:t>
            </w:r>
          </w:p>
        </w:tc>
        <w:tc>
          <w:tcPr>
            <w:tcW w:w="1306" w:type="dxa"/>
            <w:noWrap/>
            <w:vAlign w:val="center"/>
          </w:tcPr>
          <w:p w14:paraId="1D4B999E">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ascii="Times New Roman" w:hAnsi="Times New Roman"/>
                <w:color w:val="auto"/>
                <w:sz w:val="24"/>
                <w:highlight w:val="none"/>
              </w:rPr>
              <w:t>250</w:t>
            </w:r>
          </w:p>
        </w:tc>
        <w:tc>
          <w:tcPr>
            <w:tcW w:w="3795" w:type="dxa"/>
            <w:noWrap/>
            <w:vAlign w:val="center"/>
          </w:tcPr>
          <w:p w14:paraId="380454C5">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p>
        </w:tc>
      </w:tr>
      <w:tr w14:paraId="24FC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09" w:hRule="exact"/>
          <w:jc w:val="center"/>
        </w:trPr>
        <w:tc>
          <w:tcPr>
            <w:tcW w:w="893" w:type="dxa"/>
            <w:vMerge w:val="continue"/>
            <w:noWrap/>
            <w:vAlign w:val="center"/>
          </w:tcPr>
          <w:p w14:paraId="712EBBC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02B1BD64">
            <w:pPr>
              <w:keepNext w:val="0"/>
              <w:keepLines w:val="0"/>
              <w:pageBreakBefore w:val="0"/>
              <w:widowControl w:val="0"/>
              <w:topLinePunct w:val="0"/>
              <w:bidi w:val="0"/>
              <w:spacing w:line="260" w:lineRule="exact"/>
              <w:jc w:val="center"/>
              <w:rPr>
                <w:rFonts w:ascii="Times New Roman" w:hAnsi="Times New Roman" w:eastAsia="方正仿宋简体"/>
                <w:color w:val="auto"/>
                <w:spacing w:val="-14"/>
                <w:sz w:val="24"/>
                <w:highlight w:val="none"/>
              </w:rPr>
            </w:pPr>
            <w:r>
              <w:rPr>
                <w:rFonts w:hint="eastAsia" w:ascii="Times New Roman" w:hAnsi="Times New Roman" w:eastAsia="方正仿宋简体"/>
                <w:color w:val="auto"/>
                <w:spacing w:val="-14"/>
                <w:sz w:val="24"/>
                <w:highlight w:val="none"/>
              </w:rPr>
              <w:t>视频监控迁移费</w:t>
            </w:r>
          </w:p>
        </w:tc>
        <w:tc>
          <w:tcPr>
            <w:tcW w:w="992" w:type="dxa"/>
            <w:noWrap/>
            <w:vAlign w:val="center"/>
          </w:tcPr>
          <w:p w14:paraId="40A2C7AC">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个</w:t>
            </w:r>
          </w:p>
        </w:tc>
        <w:tc>
          <w:tcPr>
            <w:tcW w:w="1306" w:type="dxa"/>
            <w:noWrap/>
            <w:vAlign w:val="center"/>
          </w:tcPr>
          <w:p w14:paraId="04FDDAFF">
            <w:pPr>
              <w:keepNext w:val="0"/>
              <w:keepLines w:val="0"/>
              <w:pageBreakBefore w:val="0"/>
              <w:widowControl w:val="0"/>
              <w:topLinePunct w:val="0"/>
              <w:bidi w:val="0"/>
              <w:spacing w:line="260" w:lineRule="exact"/>
              <w:jc w:val="center"/>
              <w:rPr>
                <w:rFonts w:ascii="Times New Roman" w:hAnsi="Times New Roman"/>
                <w:color w:val="auto"/>
                <w:sz w:val="24"/>
                <w:highlight w:val="none"/>
              </w:rPr>
            </w:pPr>
            <w:r>
              <w:rPr>
                <w:rFonts w:hint="eastAsia" w:ascii="Times New Roman" w:hAnsi="Times New Roman"/>
                <w:color w:val="auto"/>
                <w:sz w:val="24"/>
                <w:highlight w:val="none"/>
              </w:rPr>
              <w:t>300</w:t>
            </w:r>
          </w:p>
        </w:tc>
        <w:tc>
          <w:tcPr>
            <w:tcW w:w="3795" w:type="dxa"/>
            <w:noWrap/>
            <w:vAlign w:val="center"/>
          </w:tcPr>
          <w:p w14:paraId="1E32D421">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按监控探头数量计算</w:t>
            </w:r>
          </w:p>
        </w:tc>
      </w:tr>
      <w:tr w14:paraId="73AF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704" w:hRule="exact"/>
          <w:jc w:val="center"/>
        </w:trPr>
        <w:tc>
          <w:tcPr>
            <w:tcW w:w="893" w:type="dxa"/>
            <w:vMerge w:val="continue"/>
            <w:noWrap/>
            <w:vAlign w:val="center"/>
          </w:tcPr>
          <w:p w14:paraId="4875BEAD">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735D9AD1">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天然气开户</w:t>
            </w:r>
          </w:p>
        </w:tc>
        <w:tc>
          <w:tcPr>
            <w:tcW w:w="992" w:type="dxa"/>
            <w:noWrap/>
            <w:vAlign w:val="center"/>
          </w:tcPr>
          <w:p w14:paraId="0EEF797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户</w:t>
            </w:r>
          </w:p>
        </w:tc>
        <w:tc>
          <w:tcPr>
            <w:tcW w:w="1306" w:type="dxa"/>
            <w:noWrap/>
            <w:vAlign w:val="center"/>
          </w:tcPr>
          <w:p w14:paraId="38FDDBD4">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3795" w:type="dxa"/>
            <w:noWrap/>
            <w:vAlign w:val="center"/>
          </w:tcPr>
          <w:p w14:paraId="7D5DD404">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以天然气公司开户相应的发票或证明材料进行补偿</w:t>
            </w:r>
          </w:p>
        </w:tc>
      </w:tr>
      <w:tr w14:paraId="2E46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59" w:hRule="exact"/>
          <w:jc w:val="center"/>
        </w:trPr>
        <w:tc>
          <w:tcPr>
            <w:tcW w:w="893" w:type="dxa"/>
            <w:vMerge w:val="continue"/>
            <w:noWrap/>
            <w:vAlign w:val="center"/>
          </w:tcPr>
          <w:p w14:paraId="0CEFCA9A">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1999" w:type="dxa"/>
            <w:noWrap/>
            <w:vAlign w:val="center"/>
          </w:tcPr>
          <w:p w14:paraId="216DEE7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果杂树</w:t>
            </w:r>
          </w:p>
        </w:tc>
        <w:tc>
          <w:tcPr>
            <w:tcW w:w="992" w:type="dxa"/>
            <w:noWrap/>
            <w:vAlign w:val="center"/>
          </w:tcPr>
          <w:p w14:paraId="0B36D5D7">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棵</w:t>
            </w:r>
          </w:p>
        </w:tc>
        <w:tc>
          <w:tcPr>
            <w:tcW w:w="1306" w:type="dxa"/>
            <w:noWrap/>
            <w:vAlign w:val="center"/>
          </w:tcPr>
          <w:p w14:paraId="20678595">
            <w:pPr>
              <w:keepNext w:val="0"/>
              <w:keepLines w:val="0"/>
              <w:pageBreakBefore w:val="0"/>
              <w:widowControl w:val="0"/>
              <w:topLinePunct w:val="0"/>
              <w:bidi w:val="0"/>
              <w:spacing w:line="260" w:lineRule="exact"/>
              <w:jc w:val="center"/>
              <w:rPr>
                <w:rFonts w:ascii="Times New Roman" w:hAnsi="Times New Roman" w:eastAsia="方正仿宋简体"/>
                <w:color w:val="auto"/>
                <w:sz w:val="24"/>
                <w:highlight w:val="none"/>
              </w:rPr>
            </w:pPr>
          </w:p>
        </w:tc>
        <w:tc>
          <w:tcPr>
            <w:tcW w:w="3795" w:type="dxa"/>
            <w:noWrap/>
            <w:vAlign w:val="center"/>
          </w:tcPr>
          <w:p w14:paraId="35C6CA15">
            <w:pPr>
              <w:keepNext w:val="0"/>
              <w:keepLines w:val="0"/>
              <w:pageBreakBefore w:val="0"/>
              <w:widowControl w:val="0"/>
              <w:topLinePunct w:val="0"/>
              <w:bidi w:val="0"/>
              <w:spacing w:line="260" w:lineRule="exact"/>
              <w:rPr>
                <w:rFonts w:ascii="Times New Roman" w:hAnsi="Times New Roman" w:eastAsia="方正仿宋简体"/>
                <w:color w:val="auto"/>
                <w:sz w:val="24"/>
                <w:highlight w:val="none"/>
              </w:rPr>
            </w:pPr>
            <w:r>
              <w:rPr>
                <w:rFonts w:hint="eastAsia" w:ascii="Times New Roman" w:hAnsi="Times New Roman" w:eastAsia="方正仿宋简体"/>
                <w:color w:val="auto"/>
                <w:sz w:val="24"/>
                <w:highlight w:val="none"/>
              </w:rPr>
              <w:t>按征地标准执行</w:t>
            </w:r>
          </w:p>
        </w:tc>
      </w:tr>
    </w:tbl>
    <w:p w14:paraId="292FD831">
      <w:pPr>
        <w:spacing w:line="590" w:lineRule="exact"/>
        <w:rPr>
          <w:szCs w:val="32"/>
        </w:rPr>
      </w:pPr>
    </w:p>
    <w:p w14:paraId="0B5F524D">
      <w:pPr>
        <w:spacing w:line="590" w:lineRule="exact"/>
        <w:rPr>
          <w:szCs w:val="32"/>
        </w:rPr>
      </w:pPr>
    </w:p>
    <w:p w14:paraId="3875F768">
      <w:pPr>
        <w:spacing w:line="590" w:lineRule="exact"/>
        <w:rPr>
          <w:szCs w:val="32"/>
        </w:rPr>
      </w:pPr>
    </w:p>
    <w:p w14:paraId="48554FED">
      <w:pPr>
        <w:spacing w:line="590" w:lineRule="exact"/>
        <w:rPr>
          <w:szCs w:val="32"/>
        </w:rPr>
      </w:pPr>
    </w:p>
    <w:p w14:paraId="4C4985ED">
      <w:pPr>
        <w:spacing w:line="590" w:lineRule="exact"/>
        <w:rPr>
          <w:szCs w:val="32"/>
        </w:rPr>
      </w:pPr>
    </w:p>
    <w:p w14:paraId="44DF4EE5">
      <w:pPr>
        <w:spacing w:line="590" w:lineRule="exact"/>
        <w:rPr>
          <w:szCs w:val="32"/>
        </w:rPr>
      </w:pPr>
    </w:p>
    <w:p w14:paraId="4ECEADD9">
      <w:pPr>
        <w:spacing w:line="590" w:lineRule="exact"/>
        <w:rPr>
          <w:szCs w:val="32"/>
        </w:rPr>
      </w:pPr>
    </w:p>
    <w:p w14:paraId="31F9836F">
      <w:pPr>
        <w:spacing w:line="590" w:lineRule="exact"/>
        <w:rPr>
          <w:szCs w:val="32"/>
        </w:rPr>
      </w:pPr>
    </w:p>
    <w:p w14:paraId="24A24B23">
      <w:pPr>
        <w:spacing w:line="590" w:lineRule="exact"/>
        <w:rPr>
          <w:szCs w:val="32"/>
        </w:rPr>
      </w:pPr>
    </w:p>
    <w:p w14:paraId="427DA02D">
      <w:pPr>
        <w:spacing w:line="590" w:lineRule="exact"/>
        <w:rPr>
          <w:szCs w:val="32"/>
        </w:rPr>
      </w:pPr>
    </w:p>
    <w:p w14:paraId="199B057D">
      <w:pPr>
        <w:spacing w:line="590" w:lineRule="exact"/>
        <w:rPr>
          <w:szCs w:val="32"/>
        </w:rPr>
      </w:pPr>
    </w:p>
    <w:p w14:paraId="4A7B3C02">
      <w:pPr>
        <w:spacing w:line="590" w:lineRule="exact"/>
        <w:rPr>
          <w:szCs w:val="32"/>
        </w:rPr>
      </w:pPr>
    </w:p>
    <w:p w14:paraId="7BD13DA6">
      <w:pPr>
        <w:spacing w:line="590" w:lineRule="exact"/>
        <w:rPr>
          <w:szCs w:val="32"/>
        </w:rPr>
      </w:pPr>
    </w:p>
    <w:p w14:paraId="65186332">
      <w:pPr>
        <w:spacing w:line="590" w:lineRule="exact"/>
        <w:rPr>
          <w:szCs w:val="32"/>
        </w:rPr>
      </w:pPr>
    </w:p>
    <w:p w14:paraId="1F9E577A">
      <w:pPr>
        <w:spacing w:line="590" w:lineRule="exact"/>
        <w:rPr>
          <w:szCs w:val="32"/>
        </w:rPr>
      </w:pPr>
    </w:p>
    <w:p w14:paraId="2133FE43">
      <w:pPr>
        <w:spacing w:line="590" w:lineRule="exact"/>
        <w:rPr>
          <w:szCs w:val="32"/>
        </w:rPr>
      </w:pPr>
    </w:p>
    <w:p w14:paraId="1AFE843F">
      <w:pPr>
        <w:spacing w:line="590" w:lineRule="exact"/>
        <w:rPr>
          <w:szCs w:val="32"/>
        </w:rPr>
      </w:pPr>
    </w:p>
    <w:sectPr>
      <w:footerReference r:id="rId6" w:type="default"/>
      <w:pgSz w:w="11906" w:h="16838"/>
      <w:pgMar w:top="1928" w:right="1474" w:bottom="1701" w:left="1587" w:header="1134" w:footer="84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B808C-2638-441E-B09F-BB99461A6D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1EB80EA-F1DF-4E23-B856-3378DA7253DE}"/>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9D09503-24B1-4242-85B0-72AD648B9BFB}"/>
  </w:font>
  <w:font w:name="楷体_GB2312">
    <w:panose1 w:val="02010609030101010101"/>
    <w:charset w:val="86"/>
    <w:family w:val="modern"/>
    <w:pitch w:val="default"/>
    <w:sig w:usb0="00000001" w:usb1="080E0000" w:usb2="00000000" w:usb3="00000000" w:csb0="00040000" w:csb1="00000000"/>
    <w:embedRegular r:id="rId4" w:fontKey="{166B0A81-D950-4514-BF4A-C812315BB431}"/>
  </w:font>
  <w:font w:name="方正小标宋_GBK">
    <w:altName w:val="Arial Unicode MS"/>
    <w:panose1 w:val="02000000000000000000"/>
    <w:charset w:val="86"/>
    <w:family w:val="script"/>
    <w:pitch w:val="default"/>
    <w:sig w:usb0="00000000" w:usb1="00000000" w:usb2="00000000" w:usb3="00000000" w:csb0="00040000" w:csb1="00000000"/>
    <w:embedRegular r:id="rId5" w:fontKey="{5C6EFA98-7D81-4E2B-9827-63D55BC6723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812E9">
    <w:pPr>
      <w:pStyle w:val="6"/>
      <w:ind w:right="420"/>
      <w:jc w:val="both"/>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6616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66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D414C">
                          <w:pPr>
                            <w:pStyle w:val="6"/>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3.95pt;mso-position-horizontal:outside;mso-position-horizontal-relative:margin;z-index:251661312;mso-width-relative:page;mso-height-relative:page;" filled="f" stroked="f" coordsize="21600,21600" o:gfxdata="UEsDBAoAAAAAAIdO4kAAAAAAAAAAAAAAAAAEAAAAZHJzL1BLAwQUAAAACACHTuJAp6oAmdQAAAAF&#10;AQAADwAAAGRycy9kb3ducmV2LnhtbE2PMU/DMBCFdyT+g3VIbNRuhxJCnA4IOsBEWiHGa3yJ08bn&#10;KHbTwq/HZYHlpKd39953xersejHRGDrPGuYzBYK49qbjVsN283KXgQgR2WDvmTR8UYBVeX1VYG78&#10;id9pqmIrUgiHHDXYGIdcylBbchhmfiBOXuNHhzHJsZVmxFMKd71cKLWUDjtODRYHerJUH6qjSxgf&#10;b8qtvxv76V6xCZXdTOvnvda3N3P1CCLSOf4twwU/3UCZmHb+yCaIXkN6JP7Oi7e8fwCx07DIMgWy&#10;LOR/+vIHUEsDBBQAAAAIAIdO4kDWRnosOQIAAGMEAAAOAAAAZHJzL2Uyb0RvYy54bWytVE2O0zAU&#10;3iNxB8t7mrTMVFXVdFSmKkKqmJEGxNp1nMaS7Wdst0k5ANyAFRv2nKvn4NlJOmhgMQs27ovf7/f5&#10;e13ctFqRo3BeginoeJRTIgyHUpp9QT9+2LyaUeIDMyVTYERBT8LTm+XLF4vGzsUEalClcASLGD9v&#10;bEHrEOw8yzyvhWZ+BFYYdFbgNAv46fZZ6ViD1bXKJnk+zRpwpXXAhfd4u+6ctK/onlMQqkpysQZ+&#10;0MKErqoTigWE5GtpPV2maatK8HBXVV4EogqKSEM6sQnau3hmywWb7x2zteT9COw5IzzBpJk02PRS&#10;as0CIwcn/yqlJXfgoQojDjrrgCRGEMU4f8LNQ82sSFiQam8vpPv/V5a/P947IsuCXlFimMYHP3//&#10;dv7x6/zzK7mK9DTWzzHqwWJcaN9Ai6IZ7j1eRtRt5XT8RTwE/Uju6UKuaAPhMSmfTsfTa0o4+saz&#10;yWyWJ/qzx3TrfHgrQJNoFNTh6yVS2XHrA46CoUNI7GZgI5VKL6gMaQo6fX2dp4SLBzOUwcQIohs2&#10;WqHdtT2yHZQnBOagU4a3fCOx+Zb5cM8cSgGx4LKEOzwqBdgEeouSGtyXf93HeHwh9FLSoLQK6j8f&#10;mBOUqHcG3y7qcDDcYOwGwxz0LaBax7iGlicTE1xQg1k50J9wh1axC7qY4diroGEwb0MncNxBLlar&#10;FHSwTu7rLgGVZ1nYmgfLY5tIpberQ0A6E8uRoo6XnjnUXiK/35Mo7j+/U9Tjf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eqAJnUAAAABQEAAA8AAAAAAAAAAQAgAAAAIgAAAGRycy9kb3ducmV2&#10;LnhtbFBLAQIUABQAAAAIAIdO4kDWRnosOQIAAGMEAAAOAAAAAAAAAAEAIAAAACMBAABkcnMvZTJv&#10;RG9jLnhtbFBLBQYAAAAABgAGAFkBAADOBQAAAAA=&#10;">
              <v:fill on="f" focussize="0,0"/>
              <v:stroke on="f" weight="0.5pt"/>
              <v:imagedata o:title=""/>
              <o:lock v:ext="edit" aspectratio="f"/>
              <v:textbox inset="0mm,0mm,0mm,0mm" style="mso-fit-shape-to-text:t;">
                <w:txbxContent>
                  <w:p w14:paraId="6AED414C">
                    <w:pPr>
                      <w:pStyle w:val="6"/>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D997">
    <w:pPr>
      <w:pStyle w:val="6"/>
      <w:ind w:right="360" w:firstLine="420" w:firstLineChars="150"/>
      <w:rPr>
        <w:rFonts w:asciiTheme="minorEastAsia" w:hAnsiTheme="minorEastAsia" w:eastAsiaTheme="minorEastAsia"/>
      </w:rPr>
    </w:pPr>
    <w:r>
      <w:rPr>
        <w:rStyle w:val="12"/>
        <w:rFonts w:hint="eastAsia" w:asciiTheme="minorEastAsia" w:hAnsiTheme="minorEastAsia" w:eastAsiaTheme="minorEastAsia"/>
      </w:rPr>
      <w:t xml:space="preserve">— </w:t>
    </w:r>
    <w:r>
      <w:rPr>
        <w:rStyle w:val="12"/>
        <w:rFonts w:asciiTheme="minorEastAsia" w:hAnsiTheme="minorEastAsia" w:eastAsiaTheme="minorEastAsia"/>
      </w:rPr>
      <w:fldChar w:fldCharType="begin"/>
    </w:r>
    <w:r>
      <w:rPr>
        <w:rStyle w:val="12"/>
        <w:rFonts w:asciiTheme="minorEastAsia" w:hAnsiTheme="minorEastAsia" w:eastAsiaTheme="minorEastAsia"/>
      </w:rPr>
      <w:instrText xml:space="preserve"> PAGE   \* MERGEFORMAT </w:instrText>
    </w:r>
    <w:r>
      <w:rPr>
        <w:rStyle w:val="12"/>
        <w:rFonts w:asciiTheme="minorEastAsia" w:hAnsiTheme="minorEastAsia" w:eastAsiaTheme="minorEastAsia"/>
      </w:rPr>
      <w:fldChar w:fldCharType="separate"/>
    </w:r>
    <w:r>
      <w:rPr>
        <w:rStyle w:val="12"/>
        <w:rFonts w:asciiTheme="minorEastAsia" w:hAnsiTheme="minorEastAsia" w:eastAsiaTheme="minorEastAsia"/>
        <w:lang w:val="zh-CN"/>
      </w:rPr>
      <w:t>32</w:t>
    </w:r>
    <w:r>
      <w:rPr>
        <w:rStyle w:val="12"/>
        <w:rFonts w:asciiTheme="minorEastAsia" w:hAnsiTheme="minorEastAsia" w:eastAsiaTheme="minorEastAsia"/>
      </w:rPr>
      <w:fldChar w:fldCharType="end"/>
    </w:r>
    <w:r>
      <w:rPr>
        <w:rStyle w:val="12"/>
        <w:rFonts w:hint="eastAsia" w:asciiTheme="minorEastAsia" w:hAnsiTheme="minorEastAsia" w:eastAsiaTheme="minor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3F6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33475" cy="368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3475" cy="368300"/>
                      </a:xfrm>
                      <a:prstGeom prst="rect">
                        <a:avLst/>
                      </a:prstGeom>
                      <a:noFill/>
                      <a:ln w="6350">
                        <a:noFill/>
                      </a:ln>
                    </wps:spPr>
                    <wps:txbx>
                      <w:txbxContent>
                        <w:p w14:paraId="4E50ED04">
                          <w:pPr>
                            <w:pStyle w:val="6"/>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9pt;width:89.25pt;mso-position-horizontal:outside;mso-position-horizontal-relative:margin;z-index:251659264;mso-width-relative:page;mso-height-relative:page;" filled="f" stroked="f" coordsize="21600,21600" o:gfxdata="UEsDBAoAAAAAAIdO4kAAAAAAAAAAAAAAAAAEAAAAZHJzL1BLAwQUAAAACACHTuJAewJTutQAAAAE&#10;AQAADwAAAGRycy9kb3ducmV2LnhtbE2PS0/DMBCE70j8B2uRuFE7SIUoxOmBx41XC5XKzYmXJMJe&#10;R/EmLf8elwtcVhrNaObbcnXwTsw4xj6QhmyhQCA1wfbUanh/e7jIQUQ2ZI0LhBq+McKqOj0pTWHD&#10;ntY4b7gVqYRiYTR0zEMhZWw69CYuwoCUvM8wesNJjq20o9mncu/kpVJX0pue0kJnBrztsPnaTF6D&#10;28XxsVb8Md+1T/z6Iqftffas9flZpm5AMB74LwxH/IQOVWKqw0Q2CqchPcK/9+hd50sQtYZlrkBW&#10;pfwPX/0AUEsDBBQAAAAIAIdO4kBw5FX21wEAAKMDAAAOAAAAZHJzL2Uyb0RvYy54bWytU82O0zAQ&#10;viPxDpbvNOmGLauo6QpULUJCgLTwAK5jN5b8h8dp0heAN+DEhTvP1edg7KRdtFz2wMUZe2a+me+b&#10;yfp2NJocRADlbEOXi5ISYblrld039Mvnuxc3lEBktmXaWdHQowB6u3n+bD34Wly5zulWBIIgFurB&#10;N7SL0ddFAbwThsHCeWHRKV0wLOI17Is2sAHRjS6uynJVDC60PjguAPB1OznpjBieAuikVFxsHe+N&#10;sHFCDUKziJSgUx7oJncrpeDxo5QgItENRaYxn1gE7V06i82a1fvAfKf43AJ7SguPOBmmLBa9QG1Z&#10;ZKQP6h8oo3hw4GRccGeKiUhWBFksy0fa3HfMi8wFpQZ/ER3+Hyz/cPgUiGpxEyixzODATz++n37+&#10;Pv36RpZJnsFDjVH3HuPi+MaNKXR+B3xMrEcZTPoiH4J+FPd4EVeMkfCUtKyql6+uKeHoq1Y3VZnV&#10;Lx6yfYD4VjhDktHQgMPLmrLDe4hYEUPPIamYdXdK6zxAbcnQ0FV1XeaEiwcztMXExGHqNVlx3I0z&#10;gZ1rj8hrwAVoKHztWRCU6HcWFU7bcjbC2didjd4Hte/yOk29vO6jkyq3mWpMwHNpnF3uft6ztBx/&#10;33PUw7+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7AlO61AAAAAQBAAAPAAAAAAAAAAEAIAAA&#10;ACIAAABkcnMvZG93bnJldi54bWxQSwECFAAUAAAACACHTuJAcORV9tcBAACjAwAADgAAAAAAAAAB&#10;ACAAAAAjAQAAZHJzL2Uyb0RvYy54bWxQSwUGAAAAAAYABgBZAQAAbAUAAAAA&#10;">
              <v:fill on="f" focussize="0,0"/>
              <v:stroke on="f" weight="0.5pt"/>
              <v:imagedata o:title=""/>
              <o:lock v:ext="edit" aspectratio="f"/>
              <v:textbox inset="0mm,0mm,0mm,0mm">
                <w:txbxContent>
                  <w:p w14:paraId="4E50ED04">
                    <w:pPr>
                      <w:pStyle w:val="6"/>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2254">
    <w:pPr>
      <w:pStyle w:val="6"/>
      <w:ind w:right="420"/>
      <w:jc w:val="right"/>
      <w:rPr>
        <w:rFonts w:asciiTheme="majorEastAsia" w:hAnsiTheme="majorEastAsia" w:eastAsiaTheme="majorEastAsi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40790" cy="368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40790" cy="368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76E52">
                          <w:pPr>
                            <w:pStyle w:val="6"/>
                            <w:ind w:right="60" w:rightChars="0"/>
                            <w:jc w:val="center"/>
                          </w:pPr>
                          <w:r>
                            <w:rPr>
                              <w:rFonts w:hint="eastAsia" w:asciiTheme="majorEastAsia" w:hAnsiTheme="majorEastAsia" w:eastAsiaTheme="majorEastAsia"/>
                            </w:rPr>
                            <w:t xml:space="preserve">— </w:t>
                          </w:r>
                          <w:r>
                            <w:rPr>
                              <w:rFonts w:asciiTheme="majorEastAsia" w:hAnsiTheme="majorEastAsia" w:eastAsiaTheme="majorEastAsia"/>
                            </w:rPr>
                            <w:fldChar w:fldCharType="begin"/>
                          </w:r>
                          <w:r>
                            <w:rPr>
                              <w:rFonts w:asciiTheme="majorEastAsia" w:hAnsiTheme="majorEastAsia" w:eastAsiaTheme="majorEastAsia"/>
                            </w:rPr>
                            <w:instrText xml:space="preserve"> PAGE   \* MERGEFORMAT </w:instrText>
                          </w:r>
                          <w:r>
                            <w:rPr>
                              <w:rFonts w:asciiTheme="majorEastAsia" w:hAnsiTheme="majorEastAsia" w:eastAsiaTheme="majorEastAsia"/>
                            </w:rPr>
                            <w:fldChar w:fldCharType="separate"/>
                          </w:r>
                          <w:r>
                            <w:rPr>
                              <w:rFonts w:asciiTheme="majorEastAsia" w:hAnsiTheme="majorEastAsia" w:eastAsiaTheme="majorEastAsia"/>
                              <w:lang w:val="zh-CN"/>
                            </w:rPr>
                            <w:t>31</w:t>
                          </w:r>
                          <w:r>
                            <w:rPr>
                              <w:rFonts w:asciiTheme="majorEastAsia" w:hAnsiTheme="majorEastAsia" w:eastAsiaTheme="majorEastAsia"/>
                            </w:rPr>
                            <w:fldChar w:fldCharType="end"/>
                          </w:r>
                          <w:r>
                            <w:rPr>
                              <w:rFonts w:hint="eastAsia" w:asciiTheme="majorEastAsia" w:hAnsiTheme="majorEastAsia" w:eastAsiaTheme="majorEastAsia"/>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9pt;width:97.7pt;mso-position-horizontal:outside;mso-position-horizontal-relative:margin;z-index:251660288;mso-width-relative:page;mso-height-relative:page;" filled="f" stroked="f" coordsize="21600,21600" o:gfxdata="UEsDBAoAAAAAAIdO4kAAAAAAAAAAAAAAAAAEAAAAZHJzL1BLAwQUAAAACACHTuJAgO2v4dMAAAAE&#10;AQAADwAAAGRycy9kb3ducmV2LnhtbE2PS0/DMBCE70j8B2uRuFE7iKIS4vTA48azgAQ3J16SCHsd&#10;2Zu0/HtcLnBZaTSjmW+r9c47MWNMQyANxUKBQGqDHajT8Ppye7ICkdiQNS4QavjGBOv68KAypQ1b&#10;esZ5w53IJZRKo6FnHkspU9ujN2kRRqTsfYboDWcZO2mj2eZy7+SpUufSm4HyQm9GvOqx/dpMXoN7&#10;T/GuUfwxX3f3/PQop7eb4kHr46NCXYJg3PFfGPb4GR3qzNSEiWwSTkN+hH/v3rtYnoFoNCxXCmRd&#10;yf/w9Q9QSwMEFAAAAAgAh07iQA99Opc3AgAAYgQAAA4AAABkcnMvZTJvRG9jLnhtbK1UTY7TMBTe&#10;I3EHy3uatIUyVE1HZaoipIoZqSDWruM0lmw/Y7tNygHgBrNiw55z9Rw8O00HDSxmwcb94vf7fX6v&#10;s+tWK3IQzkswBR0OckqE4VBKsyvop4+rF1eU+MBMyRQYUdCj8PR6/vzZrLFTMYIaVCkcwSTGTxtb&#10;0DoEO80yz2uhmR+AFQaNFTjNAn66XVY61mB2rbJRnk+yBlxpHXDhPd4uOyM9Z3RPSQhVJblYAt9r&#10;YUKX1QnFAlLytbSezlO3VSV4uK0qLwJRBUWmIZ1YBPE2ntl8xqY7x2wt+bkF9pQWHnHSTBosekm1&#10;ZIGRvZN/pdKSO/BQhQEHnXVEkiLIYpg/0mZTMysSF5Ta24vo/v+l5R8Od47IsqBjSgzT+OCn+++n&#10;H79OP7+RcZSnsX6KXhuLfqF9Cy0OTX/v8TKybiun4y/yIWhHcY8XcUUbCI9Bo5f56zdo4mgbT67G&#10;eVI/e4i2zod3AjSJoKAOHy9pyg5rH7ATdO1dYjEDK6lUekBlSFPQyfhVngIuFoxQBgMjh67XiEK7&#10;bc/EtlAekZeDbjC85SuJxdfMhzvmcBKwX9yVcItHpQCLwBlRUoP7+q/76I8PhFZKGpysgvove+YE&#10;Jeq9wafDlKEHrgfbHpi9vgEc1iFuoeUJYoALqoeVA/0ZV2gRq6CJGY61Chp6eBO6+cYV5GKxSE57&#10;6+Su7gJw8CwLa7OxPJbppFzsA1QyqRwl6nQ5K4ejl8Q/r0mc7T+/k9fDX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Dtr+HTAAAABAEAAA8AAAAAAAAAAQAgAAAAIgAAAGRycy9kb3ducmV2Lnht&#10;bFBLAQIUABQAAAAIAIdO4kAPfTqXNwIAAGIEAAAOAAAAAAAAAAEAIAAAACIBAABkcnMvZTJvRG9j&#10;LnhtbFBLBQYAAAAABgAGAFkBAADLBQAAAAA=&#10;">
              <v:fill on="f" focussize="0,0"/>
              <v:stroke on="f" weight="0.5pt"/>
              <v:imagedata o:title=""/>
              <o:lock v:ext="edit" aspectratio="f"/>
              <v:textbox inset="0mm,0mm,0mm,0mm">
                <w:txbxContent>
                  <w:p w14:paraId="6D176E52">
                    <w:pPr>
                      <w:pStyle w:val="6"/>
                      <w:ind w:right="60" w:rightChars="0"/>
                      <w:jc w:val="center"/>
                    </w:pPr>
                    <w:r>
                      <w:rPr>
                        <w:rFonts w:hint="eastAsia" w:asciiTheme="majorEastAsia" w:hAnsiTheme="majorEastAsia" w:eastAsiaTheme="majorEastAsia"/>
                      </w:rPr>
                      <w:t xml:space="preserve">— </w:t>
                    </w:r>
                    <w:r>
                      <w:rPr>
                        <w:rFonts w:asciiTheme="majorEastAsia" w:hAnsiTheme="majorEastAsia" w:eastAsiaTheme="majorEastAsia"/>
                      </w:rPr>
                      <w:fldChar w:fldCharType="begin"/>
                    </w:r>
                    <w:r>
                      <w:rPr>
                        <w:rFonts w:asciiTheme="majorEastAsia" w:hAnsiTheme="majorEastAsia" w:eastAsiaTheme="majorEastAsia"/>
                      </w:rPr>
                      <w:instrText xml:space="preserve"> PAGE   \* MERGEFORMAT </w:instrText>
                    </w:r>
                    <w:r>
                      <w:rPr>
                        <w:rFonts w:asciiTheme="majorEastAsia" w:hAnsiTheme="majorEastAsia" w:eastAsiaTheme="majorEastAsia"/>
                      </w:rPr>
                      <w:fldChar w:fldCharType="separate"/>
                    </w:r>
                    <w:r>
                      <w:rPr>
                        <w:rFonts w:asciiTheme="majorEastAsia" w:hAnsiTheme="majorEastAsia" w:eastAsiaTheme="majorEastAsia"/>
                        <w:lang w:val="zh-CN"/>
                      </w:rPr>
                      <w:t>31</w:t>
                    </w:r>
                    <w:r>
                      <w:rPr>
                        <w:rFonts w:asciiTheme="majorEastAsia" w:hAnsiTheme="majorEastAsia" w:eastAsiaTheme="majorEastAsia"/>
                      </w:rPr>
                      <w:fldChar w:fldCharType="end"/>
                    </w:r>
                    <w:r>
                      <w:rPr>
                        <w:rFonts w:hint="eastAsia" w:asciiTheme="majorEastAsia" w:hAnsiTheme="majorEastAsia" w:eastAsiaTheme="major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1BEB2"/>
    <w:multiLevelType w:val="singleLevel"/>
    <w:tmpl w:val="9D91BEB2"/>
    <w:lvl w:ilvl="0" w:tentative="0">
      <w:start w:val="1"/>
      <w:numFmt w:val="chineseCounting"/>
      <w:suff w:val="nothing"/>
      <w:lvlText w:val="（%1）"/>
      <w:lvlJc w:val="left"/>
      <w:rPr>
        <w:rFonts w:hint="eastAsia"/>
      </w:rPr>
    </w:lvl>
  </w:abstractNum>
  <w:abstractNum w:abstractNumId="1">
    <w:nsid w:val="A1080A83"/>
    <w:multiLevelType w:val="singleLevel"/>
    <w:tmpl w:val="A1080A83"/>
    <w:lvl w:ilvl="0" w:tentative="0">
      <w:start w:val="4"/>
      <w:numFmt w:val="chineseCounting"/>
      <w:suff w:val="nothing"/>
      <w:lvlText w:val="（%1）"/>
      <w:lvlJc w:val="left"/>
      <w:rPr>
        <w:rFonts w:hint="eastAsia"/>
      </w:rPr>
    </w:lvl>
  </w:abstractNum>
  <w:abstractNum w:abstractNumId="2">
    <w:nsid w:val="FAB44EB9"/>
    <w:multiLevelType w:val="singleLevel"/>
    <w:tmpl w:val="FAB44EB9"/>
    <w:lvl w:ilvl="0" w:tentative="0">
      <w:start w:val="4"/>
      <w:numFmt w:val="chineseCounting"/>
      <w:suff w:val="space"/>
      <w:lvlText w:val="第%1条"/>
      <w:lvlJc w:val="left"/>
      <w:rPr>
        <w:rFonts w:hint="eastAsia"/>
      </w:rPr>
    </w:lvl>
  </w:abstractNum>
  <w:abstractNum w:abstractNumId="3">
    <w:nsid w:val="1C2AF275"/>
    <w:multiLevelType w:val="singleLevel"/>
    <w:tmpl w:val="1C2AF275"/>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oNotHyphenateCaps/>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WEyODBlZmFjOGIxYTJlYmIxN2ZkZjQ0N2M5OGUifQ=="/>
  </w:docVars>
  <w:rsids>
    <w:rsidRoot w:val="00212B3C"/>
    <w:rsid w:val="000148EA"/>
    <w:rsid w:val="00016422"/>
    <w:rsid w:val="00021B27"/>
    <w:rsid w:val="00022847"/>
    <w:rsid w:val="00024CBA"/>
    <w:rsid w:val="000326DE"/>
    <w:rsid w:val="000353B5"/>
    <w:rsid w:val="00057E4E"/>
    <w:rsid w:val="000770AC"/>
    <w:rsid w:val="00077A04"/>
    <w:rsid w:val="0008410B"/>
    <w:rsid w:val="00085F42"/>
    <w:rsid w:val="000A591E"/>
    <w:rsid w:val="000B26D4"/>
    <w:rsid w:val="000C2C27"/>
    <w:rsid w:val="000C786D"/>
    <w:rsid w:val="00115A3E"/>
    <w:rsid w:val="00133D44"/>
    <w:rsid w:val="001414C0"/>
    <w:rsid w:val="00190B0B"/>
    <w:rsid w:val="00193C75"/>
    <w:rsid w:val="00196EE9"/>
    <w:rsid w:val="001A0BB4"/>
    <w:rsid w:val="001B6C62"/>
    <w:rsid w:val="001B6EF9"/>
    <w:rsid w:val="001D727C"/>
    <w:rsid w:val="001F1DEE"/>
    <w:rsid w:val="00201BF5"/>
    <w:rsid w:val="00211E19"/>
    <w:rsid w:val="00212B3C"/>
    <w:rsid w:val="002204D9"/>
    <w:rsid w:val="0022777A"/>
    <w:rsid w:val="00230986"/>
    <w:rsid w:val="0023485B"/>
    <w:rsid w:val="002455B2"/>
    <w:rsid w:val="00255156"/>
    <w:rsid w:val="0027533C"/>
    <w:rsid w:val="00284D70"/>
    <w:rsid w:val="002A4903"/>
    <w:rsid w:val="002B7A96"/>
    <w:rsid w:val="002C1D42"/>
    <w:rsid w:val="002D274C"/>
    <w:rsid w:val="002F78F7"/>
    <w:rsid w:val="00321680"/>
    <w:rsid w:val="003324DD"/>
    <w:rsid w:val="00341910"/>
    <w:rsid w:val="003667E2"/>
    <w:rsid w:val="003734D4"/>
    <w:rsid w:val="003806FB"/>
    <w:rsid w:val="00393BAA"/>
    <w:rsid w:val="00394DF6"/>
    <w:rsid w:val="003B50E6"/>
    <w:rsid w:val="003D0BD6"/>
    <w:rsid w:val="003D46FB"/>
    <w:rsid w:val="003E601E"/>
    <w:rsid w:val="003F4A40"/>
    <w:rsid w:val="003F5859"/>
    <w:rsid w:val="0040058A"/>
    <w:rsid w:val="00407F58"/>
    <w:rsid w:val="00424B94"/>
    <w:rsid w:val="00430CDB"/>
    <w:rsid w:val="004472A2"/>
    <w:rsid w:val="00451EA0"/>
    <w:rsid w:val="00452376"/>
    <w:rsid w:val="0045759A"/>
    <w:rsid w:val="00463D46"/>
    <w:rsid w:val="004902E0"/>
    <w:rsid w:val="004A3F60"/>
    <w:rsid w:val="004B0D7B"/>
    <w:rsid w:val="004B13C6"/>
    <w:rsid w:val="004C1A02"/>
    <w:rsid w:val="004C200F"/>
    <w:rsid w:val="004D1830"/>
    <w:rsid w:val="004D403A"/>
    <w:rsid w:val="004F213E"/>
    <w:rsid w:val="005048E8"/>
    <w:rsid w:val="0050659F"/>
    <w:rsid w:val="00512437"/>
    <w:rsid w:val="005224C2"/>
    <w:rsid w:val="00525E37"/>
    <w:rsid w:val="00533E29"/>
    <w:rsid w:val="00543415"/>
    <w:rsid w:val="00546361"/>
    <w:rsid w:val="00577FFA"/>
    <w:rsid w:val="00596C9F"/>
    <w:rsid w:val="005B11AD"/>
    <w:rsid w:val="005B3F9B"/>
    <w:rsid w:val="005B6693"/>
    <w:rsid w:val="005C0C68"/>
    <w:rsid w:val="005D1A94"/>
    <w:rsid w:val="005D4195"/>
    <w:rsid w:val="005D4D59"/>
    <w:rsid w:val="005E07D6"/>
    <w:rsid w:val="006001C9"/>
    <w:rsid w:val="00605FB1"/>
    <w:rsid w:val="00606EC8"/>
    <w:rsid w:val="00607892"/>
    <w:rsid w:val="00622143"/>
    <w:rsid w:val="00623B4A"/>
    <w:rsid w:val="00641B3E"/>
    <w:rsid w:val="006518C4"/>
    <w:rsid w:val="006617EB"/>
    <w:rsid w:val="006752FF"/>
    <w:rsid w:val="00676247"/>
    <w:rsid w:val="00680996"/>
    <w:rsid w:val="00697708"/>
    <w:rsid w:val="006A185D"/>
    <w:rsid w:val="006B2DBD"/>
    <w:rsid w:val="006C4CB5"/>
    <w:rsid w:val="006D5747"/>
    <w:rsid w:val="006E2208"/>
    <w:rsid w:val="00704C3A"/>
    <w:rsid w:val="00714C9B"/>
    <w:rsid w:val="00724873"/>
    <w:rsid w:val="00726EDB"/>
    <w:rsid w:val="007329A0"/>
    <w:rsid w:val="00742BE9"/>
    <w:rsid w:val="00744CF8"/>
    <w:rsid w:val="00756960"/>
    <w:rsid w:val="0076057B"/>
    <w:rsid w:val="00765DFB"/>
    <w:rsid w:val="007879AA"/>
    <w:rsid w:val="00790D7A"/>
    <w:rsid w:val="0079126F"/>
    <w:rsid w:val="007A05F5"/>
    <w:rsid w:val="007A4842"/>
    <w:rsid w:val="007A5F06"/>
    <w:rsid w:val="007C7AA5"/>
    <w:rsid w:val="007E1B84"/>
    <w:rsid w:val="007E6CE0"/>
    <w:rsid w:val="007F200B"/>
    <w:rsid w:val="00805D81"/>
    <w:rsid w:val="00807327"/>
    <w:rsid w:val="00840050"/>
    <w:rsid w:val="00852801"/>
    <w:rsid w:val="0085520C"/>
    <w:rsid w:val="00872785"/>
    <w:rsid w:val="00872A23"/>
    <w:rsid w:val="008750B3"/>
    <w:rsid w:val="00875199"/>
    <w:rsid w:val="008B1388"/>
    <w:rsid w:val="008D73C0"/>
    <w:rsid w:val="008E2A58"/>
    <w:rsid w:val="0090670F"/>
    <w:rsid w:val="00921947"/>
    <w:rsid w:val="00940B76"/>
    <w:rsid w:val="00942BD0"/>
    <w:rsid w:val="009443D0"/>
    <w:rsid w:val="00945B8E"/>
    <w:rsid w:val="009479B5"/>
    <w:rsid w:val="0096094D"/>
    <w:rsid w:val="009701E1"/>
    <w:rsid w:val="00982332"/>
    <w:rsid w:val="00984571"/>
    <w:rsid w:val="009D294A"/>
    <w:rsid w:val="009E2AEC"/>
    <w:rsid w:val="009F599C"/>
    <w:rsid w:val="009F60FD"/>
    <w:rsid w:val="00A02007"/>
    <w:rsid w:val="00A02DFC"/>
    <w:rsid w:val="00A0403F"/>
    <w:rsid w:val="00A1471C"/>
    <w:rsid w:val="00A17B77"/>
    <w:rsid w:val="00A208DD"/>
    <w:rsid w:val="00A272AF"/>
    <w:rsid w:val="00A3611F"/>
    <w:rsid w:val="00A53BBB"/>
    <w:rsid w:val="00A5619D"/>
    <w:rsid w:val="00A60686"/>
    <w:rsid w:val="00A6244D"/>
    <w:rsid w:val="00A652E2"/>
    <w:rsid w:val="00A67C2F"/>
    <w:rsid w:val="00A7223B"/>
    <w:rsid w:val="00A873B8"/>
    <w:rsid w:val="00AA2C6C"/>
    <w:rsid w:val="00AA4F41"/>
    <w:rsid w:val="00AC5576"/>
    <w:rsid w:val="00AD5BE6"/>
    <w:rsid w:val="00AE101A"/>
    <w:rsid w:val="00AE4EEE"/>
    <w:rsid w:val="00B01584"/>
    <w:rsid w:val="00B10E43"/>
    <w:rsid w:val="00B10F7D"/>
    <w:rsid w:val="00B1393A"/>
    <w:rsid w:val="00B3367E"/>
    <w:rsid w:val="00B3483A"/>
    <w:rsid w:val="00B365B2"/>
    <w:rsid w:val="00B525AA"/>
    <w:rsid w:val="00B823E7"/>
    <w:rsid w:val="00BB3142"/>
    <w:rsid w:val="00BC2A2A"/>
    <w:rsid w:val="00BE4A04"/>
    <w:rsid w:val="00BE6624"/>
    <w:rsid w:val="00BF6584"/>
    <w:rsid w:val="00BF71AE"/>
    <w:rsid w:val="00C01939"/>
    <w:rsid w:val="00C03985"/>
    <w:rsid w:val="00C0663A"/>
    <w:rsid w:val="00C07712"/>
    <w:rsid w:val="00C13FD3"/>
    <w:rsid w:val="00C17C6C"/>
    <w:rsid w:val="00C17E90"/>
    <w:rsid w:val="00C21034"/>
    <w:rsid w:val="00C33937"/>
    <w:rsid w:val="00C46841"/>
    <w:rsid w:val="00C63EFA"/>
    <w:rsid w:val="00C739B2"/>
    <w:rsid w:val="00C75CA3"/>
    <w:rsid w:val="00C82CEB"/>
    <w:rsid w:val="00CA0274"/>
    <w:rsid w:val="00CA6C19"/>
    <w:rsid w:val="00CB43BC"/>
    <w:rsid w:val="00CC78D9"/>
    <w:rsid w:val="00CD24A3"/>
    <w:rsid w:val="00CD6DA5"/>
    <w:rsid w:val="00CD736F"/>
    <w:rsid w:val="00CE0C1F"/>
    <w:rsid w:val="00CE5C57"/>
    <w:rsid w:val="00D00B71"/>
    <w:rsid w:val="00D024E9"/>
    <w:rsid w:val="00D1338F"/>
    <w:rsid w:val="00D22D29"/>
    <w:rsid w:val="00D24EEA"/>
    <w:rsid w:val="00D31488"/>
    <w:rsid w:val="00D315E7"/>
    <w:rsid w:val="00D51EFE"/>
    <w:rsid w:val="00D536D7"/>
    <w:rsid w:val="00D65EED"/>
    <w:rsid w:val="00D74AF3"/>
    <w:rsid w:val="00D767E4"/>
    <w:rsid w:val="00D905A7"/>
    <w:rsid w:val="00DA5498"/>
    <w:rsid w:val="00DA5854"/>
    <w:rsid w:val="00DC0838"/>
    <w:rsid w:val="00DC29A3"/>
    <w:rsid w:val="00DC3BE9"/>
    <w:rsid w:val="00DC6874"/>
    <w:rsid w:val="00DF6C01"/>
    <w:rsid w:val="00E0198E"/>
    <w:rsid w:val="00E23618"/>
    <w:rsid w:val="00E40AD2"/>
    <w:rsid w:val="00E4108A"/>
    <w:rsid w:val="00E44578"/>
    <w:rsid w:val="00E71652"/>
    <w:rsid w:val="00E7207A"/>
    <w:rsid w:val="00E80BAC"/>
    <w:rsid w:val="00E83B01"/>
    <w:rsid w:val="00EA72EA"/>
    <w:rsid w:val="00EB3BEC"/>
    <w:rsid w:val="00EC0B41"/>
    <w:rsid w:val="00EE4939"/>
    <w:rsid w:val="00F05069"/>
    <w:rsid w:val="00F06CE0"/>
    <w:rsid w:val="00F17D5B"/>
    <w:rsid w:val="00F43A9B"/>
    <w:rsid w:val="00F57802"/>
    <w:rsid w:val="00F67C6B"/>
    <w:rsid w:val="00F869DC"/>
    <w:rsid w:val="00FB76FD"/>
    <w:rsid w:val="00FC36BA"/>
    <w:rsid w:val="00FC6B92"/>
    <w:rsid w:val="00FE3955"/>
    <w:rsid w:val="00FF729C"/>
    <w:rsid w:val="02AA231E"/>
    <w:rsid w:val="02AA2350"/>
    <w:rsid w:val="02B80C45"/>
    <w:rsid w:val="0A7F3409"/>
    <w:rsid w:val="0AAF589A"/>
    <w:rsid w:val="0B577E7B"/>
    <w:rsid w:val="0D381F32"/>
    <w:rsid w:val="0F052D33"/>
    <w:rsid w:val="12905217"/>
    <w:rsid w:val="13C23F91"/>
    <w:rsid w:val="1BFE5EE6"/>
    <w:rsid w:val="1C5A5381"/>
    <w:rsid w:val="1CCB0E1A"/>
    <w:rsid w:val="28F74F73"/>
    <w:rsid w:val="2FEC1520"/>
    <w:rsid w:val="312E02F6"/>
    <w:rsid w:val="31E51FB7"/>
    <w:rsid w:val="37921173"/>
    <w:rsid w:val="38701F18"/>
    <w:rsid w:val="443A098E"/>
    <w:rsid w:val="4745445A"/>
    <w:rsid w:val="48973FF7"/>
    <w:rsid w:val="4BEF3165"/>
    <w:rsid w:val="4DFC1596"/>
    <w:rsid w:val="4E5945FC"/>
    <w:rsid w:val="4E657FF1"/>
    <w:rsid w:val="50F01501"/>
    <w:rsid w:val="5A2878ED"/>
    <w:rsid w:val="5A7C3C93"/>
    <w:rsid w:val="63FF7A5D"/>
    <w:rsid w:val="64155738"/>
    <w:rsid w:val="66C40FDA"/>
    <w:rsid w:val="6B6E044D"/>
    <w:rsid w:val="6BA8532A"/>
    <w:rsid w:val="6BE86480"/>
    <w:rsid w:val="6BFA5138"/>
    <w:rsid w:val="6CD208DB"/>
    <w:rsid w:val="6DD32CAF"/>
    <w:rsid w:val="6E9D5C70"/>
    <w:rsid w:val="6F2BB88E"/>
    <w:rsid w:val="6FBFA207"/>
    <w:rsid w:val="74D842F2"/>
    <w:rsid w:val="765B4ED4"/>
    <w:rsid w:val="76B55EC4"/>
    <w:rsid w:val="77EB694B"/>
    <w:rsid w:val="796E276A"/>
    <w:rsid w:val="7A879B11"/>
    <w:rsid w:val="7AC55C06"/>
    <w:rsid w:val="7C576E3E"/>
    <w:rsid w:val="7F56D90D"/>
    <w:rsid w:val="7FDD1E5F"/>
    <w:rsid w:val="86EBCF1C"/>
    <w:rsid w:val="99DF0750"/>
    <w:rsid w:val="D3CF6630"/>
    <w:rsid w:val="ED5F3FB8"/>
    <w:rsid w:val="F5EDDBEC"/>
    <w:rsid w:val="F76D5385"/>
    <w:rsid w:val="FAFF7DD0"/>
    <w:rsid w:val="FD5CFD22"/>
    <w:rsid w:val="FEF3573B"/>
    <w:rsid w:val="FF7B1907"/>
    <w:rsid w:val="FF9399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locked/>
    <w:uiPriority w:val="0"/>
    <w:pPr>
      <w:jc w:val="left"/>
    </w:pPr>
  </w:style>
  <w:style w:type="paragraph" w:styleId="3">
    <w:name w:val="Body Text Indent"/>
    <w:basedOn w:val="1"/>
    <w:link w:val="18"/>
    <w:qFormat/>
    <w:uiPriority w:val="99"/>
    <w:pPr>
      <w:spacing w:after="120"/>
      <w:ind w:left="420" w:leftChars="200"/>
    </w:pPr>
    <w:rPr>
      <w:rFonts w:ascii="Calibri" w:hAnsi="Calibri"/>
      <w:kern w:val="0"/>
      <w:sz w:val="24"/>
      <w:szCs w:val="20"/>
    </w:rPr>
  </w:style>
  <w:style w:type="paragraph" w:styleId="4">
    <w:name w:val="Date"/>
    <w:basedOn w:val="1"/>
    <w:next w:val="1"/>
    <w:link w:val="22"/>
    <w:qFormat/>
    <w:uiPriority w:val="99"/>
    <w:pPr>
      <w:ind w:left="100" w:leftChars="2500"/>
    </w:pPr>
    <w:rPr>
      <w:rFonts w:ascii="Calibri" w:hAnsi="Calibri"/>
      <w:szCs w:val="20"/>
    </w:rPr>
  </w:style>
  <w:style w:type="paragraph" w:styleId="5">
    <w:name w:val="Balloon Text"/>
    <w:basedOn w:val="1"/>
    <w:link w:val="23"/>
    <w:semiHidden/>
    <w:qFormat/>
    <w:uiPriority w:val="99"/>
    <w:rPr>
      <w:rFonts w:ascii="Calibri" w:hAnsi="Calibri"/>
      <w:kern w:val="0"/>
      <w:sz w:val="2"/>
      <w:szCs w:val="20"/>
    </w:rPr>
  </w:style>
  <w:style w:type="paragraph" w:styleId="6">
    <w:name w:val="footer"/>
    <w:basedOn w:val="1"/>
    <w:link w:val="16"/>
    <w:qFormat/>
    <w:uiPriority w:val="99"/>
    <w:pPr>
      <w:tabs>
        <w:tab w:val="center" w:pos="4153"/>
        <w:tab w:val="right" w:pos="8306"/>
      </w:tabs>
      <w:snapToGrid w:val="0"/>
      <w:spacing w:line="570" w:lineRule="exact"/>
      <w:jc w:val="left"/>
    </w:pPr>
    <w:rPr>
      <w:rFonts w:eastAsia="仿宋_GB2312"/>
      <w:sz w:val="28"/>
      <w:szCs w:val="2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table" w:styleId="10">
    <w:name w:val="Table Grid"/>
    <w:basedOn w:val="9"/>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Body Text Indent Char"/>
    <w:basedOn w:val="11"/>
    <w:link w:val="3"/>
    <w:semiHidden/>
    <w:qFormat/>
    <w:locked/>
    <w:uiPriority w:val="99"/>
    <w:rPr>
      <w:rFonts w:ascii="Times New Roman" w:hAnsi="Times New Roman" w:cs="Times New Roman"/>
      <w:sz w:val="21"/>
      <w:szCs w:val="21"/>
    </w:rPr>
  </w:style>
  <w:style w:type="character" w:customStyle="1" w:styleId="14">
    <w:name w:val="Date Char"/>
    <w:basedOn w:val="11"/>
    <w:link w:val="4"/>
    <w:semiHidden/>
    <w:qFormat/>
    <w:locked/>
    <w:uiPriority w:val="99"/>
    <w:rPr>
      <w:rFonts w:ascii="Times New Roman" w:hAnsi="Times New Roman" w:cs="Times New Roman"/>
      <w:sz w:val="21"/>
      <w:szCs w:val="21"/>
    </w:rPr>
  </w:style>
  <w:style w:type="character" w:customStyle="1" w:styleId="15">
    <w:name w:val="Balloon Text Char"/>
    <w:basedOn w:val="11"/>
    <w:link w:val="5"/>
    <w:semiHidden/>
    <w:qFormat/>
    <w:locked/>
    <w:uiPriority w:val="99"/>
    <w:rPr>
      <w:rFonts w:ascii="Times New Roman" w:hAnsi="Times New Roman" w:cs="Times New Roman"/>
      <w:sz w:val="2"/>
      <w:szCs w:val="2"/>
    </w:rPr>
  </w:style>
  <w:style w:type="character" w:customStyle="1" w:styleId="16">
    <w:name w:val="页脚 Char1"/>
    <w:basedOn w:val="11"/>
    <w:link w:val="6"/>
    <w:qFormat/>
    <w:locked/>
    <w:uiPriority w:val="99"/>
    <w:rPr>
      <w:rFonts w:ascii="Times New Roman" w:hAnsi="Times New Roman" w:eastAsia="仿宋_GB2312" w:cs="Times New Roman"/>
      <w:sz w:val="18"/>
      <w:szCs w:val="18"/>
    </w:rPr>
  </w:style>
  <w:style w:type="character" w:customStyle="1" w:styleId="17">
    <w:name w:val="页眉 Char1"/>
    <w:basedOn w:val="11"/>
    <w:link w:val="7"/>
    <w:semiHidden/>
    <w:qFormat/>
    <w:locked/>
    <w:uiPriority w:val="99"/>
    <w:rPr>
      <w:rFonts w:ascii="Times New Roman" w:hAnsi="Times New Roman" w:eastAsia="宋体" w:cs="Times New Roman"/>
      <w:sz w:val="18"/>
      <w:szCs w:val="18"/>
    </w:rPr>
  </w:style>
  <w:style w:type="character" w:customStyle="1" w:styleId="18">
    <w:name w:val="正文文本缩进 Char1"/>
    <w:link w:val="3"/>
    <w:qFormat/>
    <w:locked/>
    <w:uiPriority w:val="99"/>
    <w:rPr>
      <w:rFonts w:eastAsia="宋体"/>
      <w:sz w:val="24"/>
    </w:rPr>
  </w:style>
  <w:style w:type="character" w:customStyle="1" w:styleId="19">
    <w:name w:val="Char Char3"/>
    <w:qFormat/>
    <w:locked/>
    <w:uiPriority w:val="99"/>
    <w:rPr>
      <w:rFonts w:ascii="Times New Roman" w:hAnsi="Times New Roman" w:eastAsia="宋体"/>
      <w:sz w:val="18"/>
    </w:rPr>
  </w:style>
  <w:style w:type="character" w:customStyle="1" w:styleId="20">
    <w:name w:val="Char Char2"/>
    <w:semiHidden/>
    <w:qFormat/>
    <w:locked/>
    <w:uiPriority w:val="99"/>
    <w:rPr>
      <w:rFonts w:ascii="Times New Roman" w:hAnsi="Times New Roman"/>
      <w:sz w:val="18"/>
    </w:rPr>
  </w:style>
  <w:style w:type="paragraph" w:customStyle="1" w:styleId="21">
    <w:name w:val="Char Char Char Char Char Char"/>
    <w:basedOn w:val="1"/>
    <w:qFormat/>
    <w:uiPriority w:val="99"/>
  </w:style>
  <w:style w:type="character" w:customStyle="1" w:styleId="22">
    <w:name w:val="日期 Char1"/>
    <w:link w:val="4"/>
    <w:semiHidden/>
    <w:qFormat/>
    <w:locked/>
    <w:uiPriority w:val="99"/>
    <w:rPr>
      <w:rFonts w:eastAsia="宋体"/>
      <w:kern w:val="2"/>
      <w:sz w:val="21"/>
      <w:lang w:val="en-US" w:eastAsia="zh-CN"/>
    </w:rPr>
  </w:style>
  <w:style w:type="character" w:customStyle="1" w:styleId="23">
    <w:name w:val="批注框文本 Char1"/>
    <w:link w:val="5"/>
    <w:semiHidden/>
    <w:qFormat/>
    <w:locked/>
    <w:uiPriority w:val="99"/>
    <w:rPr>
      <w:rFonts w:eastAsia="宋体"/>
      <w:sz w:val="2"/>
    </w:rPr>
  </w:style>
  <w:style w:type="paragraph" w:styleId="24">
    <w:name w:val="List Paragraph"/>
    <w:basedOn w:val="1"/>
    <w:qFormat/>
    <w:uiPriority w:val="99"/>
    <w:pPr>
      <w:ind w:firstLine="420" w:firstLineChars="200"/>
    </w:pPr>
  </w:style>
  <w:style w:type="character" w:customStyle="1" w:styleId="25">
    <w:name w:val="页眉 Char"/>
    <w:semiHidden/>
    <w:qFormat/>
    <w:locked/>
    <w:uiPriority w:val="99"/>
    <w:rPr>
      <w:rFonts w:eastAsia="宋体"/>
      <w:kern w:val="2"/>
      <w:sz w:val="24"/>
      <w:lang w:val="en-US" w:eastAsia="zh-CN"/>
    </w:rPr>
  </w:style>
  <w:style w:type="character" w:customStyle="1" w:styleId="26">
    <w:name w:val="页脚 Char"/>
    <w:qFormat/>
    <w:locked/>
    <w:uiPriority w:val="99"/>
    <w:rPr>
      <w:rFonts w:eastAsia="宋体"/>
      <w:kern w:val="2"/>
      <w:sz w:val="24"/>
      <w:lang w:val="en-US" w:eastAsia="zh-CN"/>
    </w:rPr>
  </w:style>
  <w:style w:type="character" w:customStyle="1" w:styleId="27">
    <w:name w:val="批注框文本 Char"/>
    <w:semiHidden/>
    <w:qFormat/>
    <w:locked/>
    <w:uiPriority w:val="99"/>
    <w:rPr>
      <w:rFonts w:eastAsia="宋体"/>
      <w:kern w:val="2"/>
      <w:sz w:val="18"/>
      <w:lang w:val="en-US" w:eastAsia="zh-CN"/>
    </w:rPr>
  </w:style>
  <w:style w:type="character" w:customStyle="1" w:styleId="28">
    <w:name w:val="日期 Char"/>
    <w:semiHidden/>
    <w:qFormat/>
    <w:locked/>
    <w:uiPriority w:val="99"/>
    <w:rPr>
      <w:rFonts w:eastAsia="宋体"/>
      <w:kern w:val="2"/>
      <w:sz w:val="24"/>
      <w:lang w:val="en-US" w:eastAsia="zh-CN"/>
    </w:rPr>
  </w:style>
  <w:style w:type="character" w:customStyle="1" w:styleId="29">
    <w:name w:val="正文文本缩进 Char"/>
    <w:qFormat/>
    <w:locked/>
    <w:uiPriority w:val="99"/>
    <w:rPr>
      <w:rFonts w:eastAsia="宋体"/>
      <w:kern w:val="2"/>
      <w:sz w:val="21"/>
      <w:lang w:val="en-US" w:eastAsia="zh-CN"/>
    </w:rPr>
  </w:style>
  <w:style w:type="character" w:customStyle="1" w:styleId="30">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1341</Words>
  <Characters>1414</Characters>
  <Lines>96</Lines>
  <Paragraphs>27</Paragraphs>
  <TotalTime>3</TotalTime>
  <ScaleCrop>false</ScaleCrop>
  <LinksUpToDate>false</LinksUpToDate>
  <CharactersWithSpaces>1535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2021-04-30T01:29:00Z</dcterms:created>
  <dc:creator>Windows</dc:creator>
  <cp:lastModifiedBy>颜思晶</cp:lastModifiedBy>
  <cp:lastPrinted>2025-08-08T01:52:00Z</cp:lastPrinted>
  <dcterms:modified xsi:type="dcterms:W3CDTF">2025-08-26T08:10:00Z</dcterms:modified>
  <dc:title>泉鲤政〔2019〕 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3A74A52AB9634513BCF5FF7B7484F77C_13</vt:lpwstr>
  </property>
  <property fmtid="{D5CDD505-2E9C-101B-9397-08002B2CF9AE}" pid="4" name="KSOTemplateDocerSaveRecord">
    <vt:lpwstr>eyJoZGlkIjoiMWI5Nzg4OTIwMTkyYmE1YWEzYzk3Y2ZiNjczNzg4OWUiLCJ1c2VySWQiOiI1NzY0MzM1MzYifQ==</vt:lpwstr>
  </property>
</Properties>
</file>